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170A5F37" w:rsidR="00DD6623" w:rsidRPr="00DD6623" w:rsidRDefault="007B2B1D" w:rsidP="00DD6623">
            <w:pPr>
              <w:rPr>
                <w:rFonts w:ascii="Calibri" w:eastAsia="Calibri" w:hAnsi="Calibri" w:cs="Times New Roman"/>
                <w:sz w:val="24"/>
                <w:szCs w:val="24"/>
              </w:rPr>
            </w:pPr>
            <w:r w:rsidRPr="007B2B1D">
              <w:rPr>
                <w:rFonts w:ascii="Calibri" w:eastAsia="Calibri" w:hAnsi="Calibri" w:cs="Times New Roman"/>
                <w:sz w:val="24"/>
                <w:szCs w:val="24"/>
              </w:rPr>
              <w:t xml:space="preserve">Office of the Privacy Commissioner for Personal Data, </w:t>
            </w:r>
            <w:r>
              <w:rPr>
                <w:rFonts w:ascii="Calibri" w:eastAsia="Calibri" w:hAnsi="Calibri" w:cs="Times New Roman"/>
                <w:sz w:val="24"/>
                <w:szCs w:val="24"/>
              </w:rPr>
              <w:t>(</w:t>
            </w:r>
            <w:r w:rsidRPr="007B2B1D">
              <w:rPr>
                <w:rFonts w:ascii="Calibri" w:eastAsia="Calibri" w:hAnsi="Calibri" w:cs="Times New Roman"/>
                <w:sz w:val="24"/>
                <w:szCs w:val="24"/>
              </w:rPr>
              <w:t>Hong Kong</w:t>
            </w:r>
            <w:r>
              <w:rPr>
                <w:rFonts w:ascii="Calibri" w:eastAsia="Calibri" w:hAnsi="Calibri" w:cs="Times New Roman"/>
                <w:sz w:val="24"/>
                <w:szCs w:val="24"/>
              </w:rPr>
              <w:t>)</w:t>
            </w:r>
            <w:r w:rsidR="003403BA">
              <w:rPr>
                <w:rFonts w:ascii="Calibri" w:eastAsia="Calibri" w:hAnsi="Calibri" w:cs="Times New Roman"/>
                <w:sz w:val="24"/>
                <w:szCs w:val="24"/>
              </w:rPr>
              <w:t xml:space="preserve">, </w:t>
            </w:r>
            <w:r w:rsidRPr="007B2B1D">
              <w:rPr>
                <w:rFonts w:ascii="Calibri" w:eastAsia="Calibri" w:hAnsi="Calibri" w:cs="Times New Roman"/>
                <w:sz w:val="24"/>
                <w:szCs w:val="24"/>
              </w:rPr>
              <w:t>Office of the Privacy Commissioner of Canada</w:t>
            </w:r>
            <w:r>
              <w:rPr>
                <w:rFonts w:ascii="Calibri" w:eastAsia="Calibri" w:hAnsi="Calibri" w:cs="Times New Roman"/>
                <w:sz w:val="24"/>
                <w:szCs w:val="24"/>
              </w:rPr>
              <w:t xml:space="preserve">, </w:t>
            </w:r>
            <w:r w:rsidRPr="007B2B1D">
              <w:rPr>
                <w:rFonts w:ascii="Calibri" w:eastAsia="Calibri" w:hAnsi="Calibri" w:cs="Times New Roman"/>
                <w:sz w:val="24"/>
                <w:szCs w:val="24"/>
              </w:rPr>
              <w:t>Norwegian Data Protection Authority (</w:t>
            </w:r>
            <w:proofErr w:type="spellStart"/>
            <w:r w:rsidRPr="007B2B1D">
              <w:rPr>
                <w:rFonts w:ascii="Calibri" w:eastAsia="Calibri" w:hAnsi="Calibri" w:cs="Times New Roman"/>
                <w:sz w:val="24"/>
                <w:szCs w:val="24"/>
              </w:rPr>
              <w:t>Datatilsynet</w:t>
            </w:r>
            <w:proofErr w:type="spellEnd"/>
            <w:r w:rsidRPr="007B2B1D">
              <w:rPr>
                <w:rFonts w:ascii="Calibri" w:eastAsia="Calibri" w:hAnsi="Calibri" w:cs="Times New Roman"/>
                <w:sz w:val="24"/>
                <w:szCs w:val="24"/>
              </w:rPr>
              <w:t>)</w:t>
            </w:r>
            <w:r>
              <w:rPr>
                <w:rFonts w:ascii="Calibri" w:eastAsia="Calibri" w:hAnsi="Calibri" w:cs="Times New Roman"/>
                <w:sz w:val="24"/>
                <w:szCs w:val="24"/>
              </w:rPr>
              <w:t>, and the Superintendence of Industry and Commerce (Colombia),</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160E515D" w14:textId="446DBDC5" w:rsidR="00DD6623" w:rsidRDefault="00DA600F" w:rsidP="00DD6623">
            <w:pPr>
              <w:rPr>
                <w:rFonts w:ascii="Calibri" w:eastAsia="Calibri" w:hAnsi="Calibri" w:cs="Times New Roman"/>
                <w:sz w:val="24"/>
                <w:szCs w:val="24"/>
              </w:rPr>
            </w:pPr>
            <w:r>
              <w:rPr>
                <w:rFonts w:ascii="Calibri" w:eastAsia="Calibri" w:hAnsi="Calibri" w:cs="Times New Roman"/>
                <w:sz w:val="24"/>
                <w:szCs w:val="24"/>
              </w:rPr>
              <w:t xml:space="preserve">Daniela </w:t>
            </w:r>
          </w:p>
          <w:p w14:paraId="4145162E" w14:textId="2566D45B" w:rsidR="003403BA" w:rsidRPr="00DD6623" w:rsidRDefault="003403BA" w:rsidP="00DD6623">
            <w:pPr>
              <w:rPr>
                <w:rFonts w:ascii="Calibri" w:eastAsia="Calibri" w:hAnsi="Calibri" w:cs="Times New Roman"/>
                <w:sz w:val="24"/>
                <w:szCs w:val="24"/>
              </w:rPr>
            </w:pPr>
            <w:r>
              <w:rPr>
                <w:rFonts w:ascii="Calibri" w:eastAsia="Calibri" w:hAnsi="Calibri" w:cs="Times New Roman"/>
                <w:sz w:val="24"/>
                <w:szCs w:val="24"/>
              </w:rPr>
              <w:t xml:space="preserve">Alejandro </w:t>
            </w:r>
          </w:p>
        </w:tc>
        <w:tc>
          <w:tcPr>
            <w:tcW w:w="3006" w:type="dxa"/>
            <w:tcBorders>
              <w:left w:val="nil"/>
              <w:bottom w:val="single" w:sz="4" w:space="0" w:color="auto"/>
              <w:right w:val="nil"/>
            </w:tcBorders>
          </w:tcPr>
          <w:p w14:paraId="50CE0A68" w14:textId="50C878F5" w:rsidR="00DD6623" w:rsidRDefault="00DA600F" w:rsidP="00DD6623">
            <w:pPr>
              <w:rPr>
                <w:rFonts w:ascii="Calibri" w:eastAsia="Calibri" w:hAnsi="Calibri" w:cs="Times New Roman"/>
                <w:sz w:val="24"/>
                <w:szCs w:val="24"/>
              </w:rPr>
            </w:pPr>
            <w:r>
              <w:rPr>
                <w:rFonts w:ascii="Calibri" w:eastAsia="Calibri" w:hAnsi="Calibri" w:cs="Times New Roman"/>
                <w:sz w:val="24"/>
                <w:szCs w:val="24"/>
              </w:rPr>
              <w:t>Angarita</w:t>
            </w:r>
          </w:p>
          <w:p w14:paraId="1270AD7E" w14:textId="0B7216B8" w:rsidR="003403BA" w:rsidRPr="00DD6623" w:rsidRDefault="003403BA" w:rsidP="00DD6623">
            <w:pPr>
              <w:rPr>
                <w:rFonts w:ascii="Calibri" w:eastAsia="Calibri" w:hAnsi="Calibri" w:cs="Times New Roman"/>
                <w:sz w:val="24"/>
                <w:szCs w:val="24"/>
              </w:rPr>
            </w:pPr>
            <w:proofErr w:type="spellStart"/>
            <w:r>
              <w:rPr>
                <w:rFonts w:ascii="Calibri" w:eastAsia="Calibri" w:hAnsi="Calibri" w:cs="Times New Roman"/>
                <w:sz w:val="24"/>
                <w:szCs w:val="24"/>
              </w:rPr>
              <w:t>Londono</w:t>
            </w:r>
            <w:proofErr w:type="spellEnd"/>
            <w:r>
              <w:rPr>
                <w:rFonts w:ascii="Calibri" w:eastAsia="Calibri" w:hAnsi="Calibri" w:cs="Times New Roman"/>
                <w:sz w:val="24"/>
                <w:szCs w:val="24"/>
              </w:rPr>
              <w:t xml:space="preserve"> Congote</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14BBE648" w14:textId="77777777" w:rsidR="0082183A" w:rsidRDefault="0082183A" w:rsidP="00DD6623">
            <w:pPr>
              <w:rPr>
                <w:rFonts w:ascii="Calibri" w:eastAsia="Calibri" w:hAnsi="Calibri" w:cs="Times New Roman"/>
                <w:sz w:val="24"/>
                <w:szCs w:val="24"/>
              </w:rPr>
            </w:pPr>
          </w:p>
          <w:p w14:paraId="7C59C944" w14:textId="77777777" w:rsidR="003403BA" w:rsidRDefault="00DA600F" w:rsidP="00DD6623">
            <w:pPr>
              <w:rPr>
                <w:rFonts w:ascii="Calibri" w:eastAsia="Calibri" w:hAnsi="Calibri" w:cs="Times New Roman"/>
                <w:sz w:val="24"/>
                <w:szCs w:val="24"/>
              </w:rPr>
            </w:pPr>
            <w:r>
              <w:rPr>
                <w:rFonts w:ascii="Calibri" w:eastAsia="Calibri" w:hAnsi="Calibri" w:cs="Times New Roman"/>
                <w:sz w:val="24"/>
                <w:szCs w:val="24"/>
              </w:rPr>
              <w:t xml:space="preserve">Alejandro - </w:t>
            </w:r>
            <w:r w:rsidR="003403BA">
              <w:rPr>
                <w:rFonts w:ascii="Calibri" w:eastAsia="Calibri" w:hAnsi="Calibri" w:cs="Times New Roman"/>
                <w:sz w:val="24"/>
                <w:szCs w:val="24"/>
              </w:rPr>
              <w:t>Advisor to the Deputy Superintendent for the Protection of Personal Data</w:t>
            </w:r>
          </w:p>
          <w:p w14:paraId="3465E3FD" w14:textId="46923F59" w:rsidR="00DA600F" w:rsidRPr="00DD6623" w:rsidRDefault="00DA600F" w:rsidP="00DD6623">
            <w:pPr>
              <w:rPr>
                <w:rFonts w:ascii="Calibri" w:eastAsia="Calibri" w:hAnsi="Calibri" w:cs="Times New Roman"/>
                <w:sz w:val="24"/>
                <w:szCs w:val="24"/>
              </w:rPr>
            </w:pPr>
            <w:r>
              <w:rPr>
                <w:rFonts w:ascii="Calibri" w:eastAsia="Calibri" w:hAnsi="Calibri" w:cs="Times New Roman"/>
                <w:sz w:val="24"/>
                <w:szCs w:val="24"/>
              </w:rPr>
              <w:t xml:space="preserve">Daniela - </w:t>
            </w:r>
            <w:r w:rsidRPr="00DA600F">
              <w:rPr>
                <w:rFonts w:ascii="Calibri" w:eastAsia="Calibri" w:hAnsi="Calibri" w:cs="Times New Roman"/>
                <w:sz w:val="24"/>
                <w:szCs w:val="24"/>
              </w:rPr>
              <w:t>International Affairs Professional</w:t>
            </w:r>
          </w:p>
        </w:tc>
      </w:tr>
      <w:tr w:rsidR="00DD6623" w:rsidRPr="00DA600F"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025B4F44" w14:textId="77777777" w:rsidR="00DD6623" w:rsidRDefault="00DD6623" w:rsidP="00DD6623">
            <w:pPr>
              <w:rPr>
                <w:rFonts w:ascii="Calibri" w:eastAsia="Calibri" w:hAnsi="Calibri" w:cs="Times New Roman"/>
                <w:sz w:val="24"/>
                <w:szCs w:val="24"/>
              </w:rPr>
            </w:pPr>
          </w:p>
          <w:p w14:paraId="5B9FC1DE" w14:textId="6629300C" w:rsidR="003403BA" w:rsidRPr="00DA600F" w:rsidRDefault="00DA600F" w:rsidP="00DD6623">
            <w:pPr>
              <w:rPr>
                <w:rFonts w:ascii="Calibri" w:eastAsia="Calibri" w:hAnsi="Calibri" w:cs="Times New Roman"/>
                <w:sz w:val="24"/>
                <w:szCs w:val="24"/>
                <w:lang w:val="es-CO"/>
              </w:rPr>
            </w:pPr>
            <w:r w:rsidRPr="00DA600F">
              <w:rPr>
                <w:rFonts w:ascii="Calibri" w:eastAsia="Calibri" w:hAnsi="Calibri" w:cs="Times New Roman"/>
                <w:sz w:val="24"/>
                <w:szCs w:val="24"/>
                <w:lang w:val="es-CO"/>
              </w:rPr>
              <w:t xml:space="preserve">Alejandro - </w:t>
            </w:r>
            <w:hyperlink r:id="rId12" w:history="1">
              <w:r w:rsidRPr="00DA600F">
                <w:rPr>
                  <w:rStyle w:val="Hipervnculo"/>
                  <w:rFonts w:ascii="Calibri" w:eastAsia="Calibri" w:hAnsi="Calibri" w:cs="Times New Roman"/>
                  <w:sz w:val="24"/>
                  <w:szCs w:val="24"/>
                  <w:lang w:val="es-CO"/>
                </w:rPr>
                <w:t>c.alondono@sic.gov.co</w:t>
              </w:r>
            </w:hyperlink>
          </w:p>
          <w:p w14:paraId="1390626E" w14:textId="45E3E56C" w:rsidR="00DA600F" w:rsidRPr="00DA600F" w:rsidRDefault="00DA600F" w:rsidP="00DD6623">
            <w:pPr>
              <w:rPr>
                <w:rFonts w:ascii="Calibri" w:eastAsia="Calibri" w:hAnsi="Calibri" w:cs="Times New Roman"/>
                <w:sz w:val="24"/>
                <w:szCs w:val="24"/>
                <w:lang w:val="en-US"/>
              </w:rPr>
            </w:pPr>
            <w:r w:rsidRPr="00DA600F">
              <w:rPr>
                <w:rFonts w:ascii="Calibri" w:eastAsia="Calibri" w:hAnsi="Calibri" w:cs="Times New Roman"/>
                <w:sz w:val="24"/>
                <w:szCs w:val="24"/>
                <w:lang w:val="en-US"/>
              </w:rPr>
              <w:t xml:space="preserve">Daniela - </w:t>
            </w:r>
            <w:hyperlink r:id="rId13" w:history="1">
              <w:r w:rsidRPr="00DD3498">
                <w:rPr>
                  <w:rStyle w:val="Hipervnculo"/>
                  <w:rFonts w:ascii="Calibri" w:eastAsia="Calibri" w:hAnsi="Calibri" w:cs="Times New Roman"/>
                  <w:sz w:val="24"/>
                  <w:szCs w:val="24"/>
                  <w:lang w:val="en-US"/>
                </w:rPr>
                <w:t>dangarita@sic.gov.co</w:t>
              </w:r>
            </w:hyperlink>
            <w:r>
              <w:rPr>
                <w:rFonts w:ascii="Calibri" w:eastAsia="Calibri" w:hAnsi="Calibri" w:cs="Times New Roman"/>
                <w:sz w:val="24"/>
                <w:szCs w:val="24"/>
                <w:lang w:val="en-US"/>
              </w:rPr>
              <w:t xml:space="preserve"> </w:t>
            </w:r>
          </w:p>
        </w:tc>
      </w:tr>
    </w:tbl>
    <w:p w14:paraId="605991F7" w14:textId="77777777" w:rsidR="00DD6623" w:rsidRPr="00DA600F" w:rsidRDefault="00DD6623" w:rsidP="00DD6623">
      <w:pPr>
        <w:spacing w:after="0"/>
        <w:contextualSpacing/>
        <w:rPr>
          <w:rFonts w:ascii="Calibri" w:eastAsia="Calibri" w:hAnsi="Calibri" w:cs="Times New Roman"/>
          <w:sz w:val="24"/>
          <w:szCs w:val="24"/>
          <w:lang w:val="en-US"/>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7C895D6D" w:rsidR="00DD6623" w:rsidRPr="00DD6623" w:rsidRDefault="00081EE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611D3103" w:rsidR="00DD6623" w:rsidRPr="00DD6623" w:rsidRDefault="00081EE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47708E16" w:rsidR="00DD6623" w:rsidRPr="00DD6623" w:rsidRDefault="00081EE2"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lastRenderedPageBreak/>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67535FE9" w14:textId="6EE684D0" w:rsidR="00DD6623" w:rsidRPr="00DD6623" w:rsidRDefault="003403BA"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a brief summary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4217F53A" w14:textId="31D99223" w:rsidR="00DD6623" w:rsidRPr="003403BA" w:rsidRDefault="003403BA" w:rsidP="003542F8">
            <w:pPr>
              <w:jc w:val="both"/>
              <w:rPr>
                <w:rFonts w:ascii="Segoe UI" w:hAnsi="Segoe UI" w:cs="Segoe UI"/>
                <w:color w:val="000000"/>
                <w:sz w:val="21"/>
                <w:szCs w:val="21"/>
              </w:rPr>
            </w:pPr>
            <w:r>
              <w:rPr>
                <w:rFonts w:ascii="Segoe UI" w:hAnsi="Segoe UI" w:cs="Segoe UI"/>
                <w:color w:val="000000"/>
                <w:sz w:val="21"/>
                <w:szCs w:val="21"/>
              </w:rPr>
              <w:t xml:space="preserve">The </w:t>
            </w:r>
            <w:r w:rsidR="00BC3495">
              <w:rPr>
                <w:rFonts w:ascii="Segoe UI" w:hAnsi="Segoe UI" w:cs="Segoe UI"/>
                <w:color w:val="000000"/>
                <w:sz w:val="21"/>
                <w:szCs w:val="21"/>
              </w:rPr>
              <w:t>“Transnational Case Map"</w:t>
            </w:r>
            <w:r>
              <w:rPr>
                <w:rFonts w:ascii="Segoe UI" w:hAnsi="Segoe UI" w:cs="Segoe UI"/>
                <w:color w:val="000000"/>
                <w:sz w:val="21"/>
                <w:szCs w:val="21"/>
              </w:rPr>
              <w:t xml:space="preserve"> </w:t>
            </w:r>
            <w:r w:rsidR="00BC3495">
              <w:rPr>
                <w:rFonts w:ascii="Segoe UI" w:hAnsi="Segoe UI" w:cs="Segoe UI"/>
                <w:color w:val="000000"/>
                <w:sz w:val="21"/>
                <w:szCs w:val="21"/>
              </w:rPr>
              <w:t>seeks to identify all the cases that IEWG members have had with transnational implications in the </w:t>
            </w:r>
            <w:r w:rsidR="00BC3495">
              <w:rPr>
                <w:rFonts w:ascii="Segoe UI" w:hAnsi="Segoe UI" w:cs="Segoe UI"/>
                <w:b/>
                <w:bCs/>
                <w:color w:val="000000"/>
                <w:sz w:val="21"/>
                <w:szCs w:val="21"/>
              </w:rPr>
              <w:t>past</w:t>
            </w:r>
            <w:r w:rsidR="00BC3495">
              <w:rPr>
                <w:rFonts w:ascii="Segoe UI" w:hAnsi="Segoe UI" w:cs="Segoe UI"/>
                <w:color w:val="000000"/>
                <w:sz w:val="21"/>
                <w:szCs w:val="21"/>
              </w:rPr>
              <w:t> </w:t>
            </w:r>
            <w:r w:rsidR="00BC3495">
              <w:rPr>
                <w:rFonts w:ascii="Segoe UI" w:hAnsi="Segoe UI" w:cs="Segoe UI"/>
                <w:b/>
                <w:bCs/>
                <w:color w:val="000000"/>
                <w:sz w:val="21"/>
                <w:szCs w:val="21"/>
              </w:rPr>
              <w:t>two</w:t>
            </w:r>
            <w:r w:rsidR="00BC3495">
              <w:rPr>
                <w:rFonts w:ascii="Segoe UI" w:hAnsi="Segoe UI" w:cs="Segoe UI"/>
                <w:color w:val="000000"/>
                <w:sz w:val="21"/>
                <w:szCs w:val="21"/>
              </w:rPr>
              <w:t> </w:t>
            </w:r>
            <w:r w:rsidR="00BC3495">
              <w:rPr>
                <w:rFonts w:ascii="Segoe UI" w:hAnsi="Segoe UI" w:cs="Segoe UI"/>
                <w:b/>
                <w:bCs/>
                <w:color w:val="000000"/>
                <w:sz w:val="21"/>
                <w:szCs w:val="21"/>
              </w:rPr>
              <w:t>years</w:t>
            </w:r>
            <w:r w:rsidR="00BC3495">
              <w:rPr>
                <w:rFonts w:ascii="Segoe UI" w:hAnsi="Segoe UI" w:cs="Segoe UI"/>
                <w:color w:val="000000"/>
                <w:sz w:val="21"/>
                <w:szCs w:val="21"/>
              </w:rPr>
              <w:t xml:space="preserve">. Such cases can go from Administrative fines from a DPA, Administrative orders or any other kind of enforcement tool that any of </w:t>
            </w:r>
            <w:r w:rsidR="00081EE2">
              <w:rPr>
                <w:rFonts w:ascii="Segoe UI" w:hAnsi="Segoe UI" w:cs="Segoe UI"/>
                <w:color w:val="000000"/>
                <w:sz w:val="21"/>
                <w:szCs w:val="21"/>
              </w:rPr>
              <w:t xml:space="preserve">IEWG members </w:t>
            </w:r>
            <w:r w:rsidR="00BC3495">
              <w:rPr>
                <w:rFonts w:ascii="Segoe UI" w:hAnsi="Segoe UI" w:cs="Segoe UI"/>
                <w:color w:val="000000"/>
                <w:sz w:val="21"/>
                <w:szCs w:val="21"/>
              </w:rPr>
              <w:t>have used with implications beyond its borders.</w:t>
            </w: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149AC299" w14:textId="43A1D6F2" w:rsidR="00DD6623" w:rsidRDefault="00081EE2" w:rsidP="00DD6623">
            <w:pPr>
              <w:rPr>
                <w:rFonts w:ascii="Segoe UI" w:hAnsi="Segoe UI" w:cs="Segoe UI"/>
                <w:color w:val="000000"/>
                <w:sz w:val="21"/>
                <w:szCs w:val="21"/>
              </w:rPr>
            </w:pPr>
            <w:r>
              <w:rPr>
                <w:rFonts w:ascii="Segoe UI" w:hAnsi="Segoe UI" w:cs="Segoe UI"/>
                <w:color w:val="000000"/>
                <w:sz w:val="21"/>
                <w:szCs w:val="21"/>
              </w:rPr>
              <w:t>The “Transnational Case Map" seeks to identify all the cases that IEWG members have had with transnational implications in the </w:t>
            </w:r>
            <w:r>
              <w:rPr>
                <w:rFonts w:ascii="Segoe UI" w:hAnsi="Segoe UI" w:cs="Segoe UI"/>
                <w:b/>
                <w:bCs/>
                <w:color w:val="000000"/>
                <w:sz w:val="21"/>
                <w:szCs w:val="21"/>
              </w:rPr>
              <w:t>past</w:t>
            </w:r>
            <w:r>
              <w:rPr>
                <w:rFonts w:ascii="Segoe UI" w:hAnsi="Segoe UI" w:cs="Segoe UI"/>
                <w:color w:val="000000"/>
                <w:sz w:val="21"/>
                <w:szCs w:val="21"/>
              </w:rPr>
              <w:t> </w:t>
            </w:r>
            <w:r>
              <w:rPr>
                <w:rFonts w:ascii="Segoe UI" w:hAnsi="Segoe UI" w:cs="Segoe UI"/>
                <w:b/>
                <w:bCs/>
                <w:color w:val="000000"/>
                <w:sz w:val="21"/>
                <w:szCs w:val="21"/>
              </w:rPr>
              <w:t>two</w:t>
            </w:r>
            <w:r>
              <w:rPr>
                <w:rFonts w:ascii="Segoe UI" w:hAnsi="Segoe UI" w:cs="Segoe UI"/>
                <w:color w:val="000000"/>
                <w:sz w:val="21"/>
                <w:szCs w:val="21"/>
              </w:rPr>
              <w:t> </w:t>
            </w:r>
            <w:r>
              <w:rPr>
                <w:rFonts w:ascii="Segoe UI" w:hAnsi="Segoe UI" w:cs="Segoe UI"/>
                <w:b/>
                <w:bCs/>
                <w:color w:val="000000"/>
                <w:sz w:val="21"/>
                <w:szCs w:val="21"/>
              </w:rPr>
              <w:t>years</w:t>
            </w:r>
            <w:r>
              <w:rPr>
                <w:rFonts w:ascii="Segoe UI" w:hAnsi="Segoe UI" w:cs="Segoe UI"/>
                <w:color w:val="000000"/>
                <w:sz w:val="21"/>
                <w:szCs w:val="21"/>
              </w:rPr>
              <w:t>. Such cases can go from Administrative fines from a DPA, Administrative orders or any other kind of enforcement tool that any of IEWG members have used with implications beyond its borders.</w:t>
            </w:r>
          </w:p>
          <w:p w14:paraId="32BFD948" w14:textId="04FF710F" w:rsidR="00081EE2" w:rsidRDefault="00081EE2" w:rsidP="00DD6623">
            <w:pPr>
              <w:rPr>
                <w:rFonts w:ascii="Segoe UI" w:hAnsi="Segoe UI" w:cs="Segoe UI"/>
                <w:color w:val="000000"/>
                <w:sz w:val="21"/>
                <w:szCs w:val="21"/>
              </w:rPr>
            </w:pPr>
          </w:p>
          <w:p w14:paraId="74C873B8" w14:textId="77777777" w:rsidR="00DA600F" w:rsidRPr="00DA600F" w:rsidRDefault="00DA600F" w:rsidP="00DA600F">
            <w:pPr>
              <w:rPr>
                <w:rFonts w:ascii="Calibri" w:eastAsia="Calibri" w:hAnsi="Calibri" w:cs="Times New Roman"/>
                <w:sz w:val="24"/>
                <w:szCs w:val="24"/>
              </w:rPr>
            </w:pPr>
            <w:r w:rsidRPr="00DA600F">
              <w:rPr>
                <w:rFonts w:ascii="Calibri" w:eastAsia="Calibri" w:hAnsi="Calibri" w:cs="Times New Roman"/>
                <w:sz w:val="24"/>
                <w:szCs w:val="24"/>
              </w:rPr>
              <w:t xml:space="preserve">It is common for information to be presented in written form. However, there are several ways of projecting information with the intention of making it not only more accessible but also easier to understand. </w:t>
            </w:r>
          </w:p>
          <w:p w14:paraId="490C5780" w14:textId="77777777" w:rsidR="00DA600F" w:rsidRPr="00DA600F" w:rsidRDefault="00DA600F" w:rsidP="00DA600F">
            <w:pPr>
              <w:rPr>
                <w:rFonts w:ascii="Calibri" w:eastAsia="Calibri" w:hAnsi="Calibri" w:cs="Times New Roman"/>
                <w:sz w:val="24"/>
                <w:szCs w:val="24"/>
              </w:rPr>
            </w:pPr>
          </w:p>
          <w:p w14:paraId="79859480" w14:textId="77777777" w:rsidR="00DA600F" w:rsidRPr="00DA600F" w:rsidRDefault="00DA600F" w:rsidP="00DA600F">
            <w:pPr>
              <w:rPr>
                <w:rFonts w:ascii="Calibri" w:eastAsia="Calibri" w:hAnsi="Calibri" w:cs="Times New Roman"/>
                <w:sz w:val="24"/>
                <w:szCs w:val="24"/>
              </w:rPr>
            </w:pPr>
            <w:r w:rsidRPr="00DA600F">
              <w:rPr>
                <w:rFonts w:ascii="Calibri" w:eastAsia="Calibri" w:hAnsi="Calibri" w:cs="Times New Roman"/>
                <w:sz w:val="24"/>
                <w:szCs w:val="24"/>
              </w:rPr>
              <w:t xml:space="preserve">The IEWG co-chairs have chosen to develop three maps. The first is intended to show the convergence of data protection regulation. For this purpose, they chose to join with a red line the country where the data protection authority that used the enforcement tool with the one where the </w:t>
            </w:r>
          </w:p>
          <w:p w14:paraId="149EEBE3" w14:textId="77777777" w:rsidR="00DA600F" w:rsidRPr="00DA600F" w:rsidRDefault="00DA600F" w:rsidP="00DA600F">
            <w:pPr>
              <w:rPr>
                <w:rFonts w:ascii="Calibri" w:eastAsia="Calibri" w:hAnsi="Calibri" w:cs="Times New Roman"/>
                <w:sz w:val="24"/>
                <w:szCs w:val="24"/>
              </w:rPr>
            </w:pPr>
          </w:p>
          <w:p w14:paraId="3E92E0D8" w14:textId="616C88C7" w:rsidR="00DA600F" w:rsidRDefault="00DA600F" w:rsidP="00DA600F">
            <w:pPr>
              <w:jc w:val="both"/>
              <w:rPr>
                <w:rFonts w:ascii="Times New Roman" w:hAnsi="Times New Roman" w:cs="Times New Roman"/>
                <w:sz w:val="24"/>
                <w:szCs w:val="24"/>
              </w:rPr>
            </w:pPr>
            <w:r w:rsidRPr="00DA600F">
              <w:rPr>
                <w:rFonts w:ascii="Calibri" w:eastAsia="Calibri" w:hAnsi="Calibri" w:cs="Times New Roman"/>
                <w:sz w:val="24"/>
                <w:szCs w:val="24"/>
              </w:rPr>
              <w:t>A second map aims to</w:t>
            </w:r>
            <w:r>
              <w:rPr>
                <w:rFonts w:ascii="Calibri" w:eastAsia="Calibri" w:hAnsi="Calibri" w:cs="Times New Roman"/>
                <w:sz w:val="24"/>
                <w:szCs w:val="24"/>
              </w:rPr>
              <w:t xml:space="preserve"> colour code </w:t>
            </w:r>
            <w:r>
              <w:rPr>
                <w:rFonts w:ascii="Times New Roman" w:hAnsi="Times New Roman" w:cs="Times New Roman"/>
                <w:sz w:val="24"/>
                <w:szCs w:val="24"/>
              </w:rPr>
              <w:t xml:space="preserve">the </w:t>
            </w:r>
            <w:r w:rsidRPr="00BB7F79">
              <w:rPr>
                <w:rFonts w:ascii="Times New Roman" w:hAnsi="Times New Roman" w:cs="Times New Roman"/>
                <w:sz w:val="24"/>
                <w:szCs w:val="24"/>
              </w:rPr>
              <w:t>transnational implication</w:t>
            </w:r>
            <w:r>
              <w:rPr>
                <w:rFonts w:ascii="Times New Roman" w:hAnsi="Times New Roman" w:cs="Times New Roman"/>
                <w:sz w:val="24"/>
                <w:szCs w:val="24"/>
              </w:rPr>
              <w:t xml:space="preserve">(s) </w:t>
            </w:r>
            <w:r>
              <w:rPr>
                <w:rFonts w:ascii="Times New Roman" w:hAnsi="Times New Roman" w:cs="Times New Roman" w:hint="eastAsia"/>
                <w:sz w:val="24"/>
                <w:szCs w:val="24"/>
              </w:rPr>
              <w:t>o</w:t>
            </w:r>
            <w:r>
              <w:rPr>
                <w:rFonts w:ascii="Times New Roman" w:hAnsi="Times New Roman" w:cs="Times New Roman"/>
                <w:sz w:val="24"/>
                <w:szCs w:val="24"/>
              </w:rPr>
              <w:t>f each of the cases. By colour coding the cases this way, this map would ideally provide an overview of the prevalence of the different types of transnational cases that occur over time.</w:t>
            </w:r>
          </w:p>
          <w:p w14:paraId="1BC82B83" w14:textId="77777777" w:rsidR="00DA600F" w:rsidRDefault="00DA600F" w:rsidP="00DA600F">
            <w:pPr>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7137"/>
            </w:tblGrid>
            <w:tr w:rsidR="00B84D94" w:rsidRPr="00BB7F79" w14:paraId="77B8744A" w14:textId="77777777" w:rsidTr="00B84D94">
              <w:trPr>
                <w:trHeight w:val="403"/>
                <w:jc w:val="center"/>
              </w:trPr>
              <w:tc>
                <w:tcPr>
                  <w:tcW w:w="7137" w:type="dxa"/>
                  <w:shd w:val="clear" w:color="auto" w:fill="D9D9D9" w:themeFill="background1" w:themeFillShade="D9"/>
                </w:tcPr>
                <w:p w14:paraId="4CECA5C4" w14:textId="77777777" w:rsidR="00B84D94" w:rsidRPr="00BB7F79" w:rsidRDefault="00B84D94" w:rsidP="00DA600F">
                  <w:pPr>
                    <w:rPr>
                      <w:rFonts w:ascii="Times New Roman" w:hAnsi="Times New Roman" w:cs="Times New Roman"/>
                      <w:b/>
                      <w:bCs/>
                      <w:sz w:val="24"/>
                      <w:szCs w:val="24"/>
                      <w:u w:val="single"/>
                    </w:rPr>
                  </w:pPr>
                  <w:r>
                    <w:rPr>
                      <w:rFonts w:ascii="Times New Roman" w:hAnsi="Times New Roman" w:cs="Times New Roman"/>
                      <w:b/>
                      <w:bCs/>
                      <w:sz w:val="24"/>
                      <w:szCs w:val="24"/>
                      <w:u w:val="single"/>
                    </w:rPr>
                    <w:t>Types of Transnational Implication</w:t>
                  </w:r>
                </w:p>
              </w:tc>
            </w:tr>
            <w:tr w:rsidR="00B84D94" w:rsidRPr="00BB7F79" w14:paraId="2FFE30CE" w14:textId="77777777" w:rsidTr="00B84D94">
              <w:trPr>
                <w:jc w:val="center"/>
              </w:trPr>
              <w:tc>
                <w:tcPr>
                  <w:tcW w:w="7137" w:type="dxa"/>
                </w:tcPr>
                <w:p w14:paraId="3F5E3091" w14:textId="77777777" w:rsidR="00B84D94" w:rsidRPr="00BB7F79" w:rsidRDefault="00B84D94" w:rsidP="00DA600F">
                  <w:pPr>
                    <w:rPr>
                      <w:rFonts w:ascii="Times New Roman" w:hAnsi="Times New Roman" w:cs="Times New Roman"/>
                      <w:sz w:val="24"/>
                      <w:szCs w:val="24"/>
                    </w:rPr>
                  </w:pPr>
                  <w:r w:rsidRPr="00BB7F79">
                    <w:rPr>
                      <w:rFonts w:ascii="Times New Roman" w:hAnsi="Times New Roman" w:cs="Times New Roman"/>
                      <w:sz w:val="24"/>
                      <w:szCs w:val="24"/>
                    </w:rPr>
                    <w:t>The data controller/processor operated in more than one jurisdiction</w:t>
                  </w:r>
                </w:p>
              </w:tc>
            </w:tr>
            <w:tr w:rsidR="00B84D94" w:rsidRPr="00BB7F79" w14:paraId="11B3FCA9" w14:textId="77777777" w:rsidTr="00B84D94">
              <w:trPr>
                <w:jc w:val="center"/>
              </w:trPr>
              <w:tc>
                <w:tcPr>
                  <w:tcW w:w="7137" w:type="dxa"/>
                </w:tcPr>
                <w:p w14:paraId="1ACD3B07" w14:textId="77777777" w:rsidR="00B84D94" w:rsidRPr="00BB7F79" w:rsidRDefault="00B84D94" w:rsidP="00DA600F">
                  <w:pPr>
                    <w:rPr>
                      <w:rFonts w:ascii="Times New Roman" w:hAnsi="Times New Roman" w:cs="Times New Roman"/>
                      <w:sz w:val="24"/>
                      <w:szCs w:val="24"/>
                    </w:rPr>
                  </w:pPr>
                  <w:r w:rsidRPr="00BB7F79">
                    <w:rPr>
                      <w:rFonts w:ascii="Times New Roman" w:hAnsi="Times New Roman" w:cs="Times New Roman"/>
                      <w:sz w:val="24"/>
                      <w:szCs w:val="24"/>
                    </w:rPr>
                    <w:t>Data subjects of other jurisdiction(s) were affected</w:t>
                  </w:r>
                </w:p>
              </w:tc>
            </w:tr>
            <w:tr w:rsidR="00B84D94" w:rsidRPr="00BB7F79" w14:paraId="6A83A7D1" w14:textId="77777777" w:rsidTr="00B84D94">
              <w:trPr>
                <w:jc w:val="center"/>
              </w:trPr>
              <w:tc>
                <w:tcPr>
                  <w:tcW w:w="7137" w:type="dxa"/>
                </w:tcPr>
                <w:p w14:paraId="67AF8D26" w14:textId="77777777" w:rsidR="00B84D94" w:rsidRPr="00BB7F79" w:rsidRDefault="00B84D94" w:rsidP="00DA600F">
                  <w:pPr>
                    <w:rPr>
                      <w:rFonts w:ascii="Times New Roman" w:hAnsi="Times New Roman" w:cs="Times New Roman"/>
                      <w:sz w:val="24"/>
                      <w:szCs w:val="24"/>
                    </w:rPr>
                  </w:pPr>
                  <w:r w:rsidRPr="00BB7F79">
                    <w:rPr>
                      <w:rFonts w:ascii="Times New Roman" w:hAnsi="Times New Roman" w:cs="Times New Roman"/>
                      <w:sz w:val="24"/>
                      <w:szCs w:val="24"/>
                    </w:rPr>
                    <w:t>There was cross-border data transfer</w:t>
                  </w:r>
                </w:p>
              </w:tc>
            </w:tr>
            <w:tr w:rsidR="00B84D94" w:rsidRPr="00BB7F79" w14:paraId="686F449E" w14:textId="77777777" w:rsidTr="00B84D94">
              <w:trPr>
                <w:jc w:val="center"/>
              </w:trPr>
              <w:tc>
                <w:tcPr>
                  <w:tcW w:w="7137" w:type="dxa"/>
                </w:tcPr>
                <w:p w14:paraId="7688A021" w14:textId="77777777" w:rsidR="00B84D94" w:rsidRPr="00BB7F79" w:rsidRDefault="00B84D94" w:rsidP="00DA600F">
                  <w:pPr>
                    <w:rPr>
                      <w:rFonts w:ascii="Times New Roman" w:hAnsi="Times New Roman" w:cs="Times New Roman"/>
                      <w:sz w:val="24"/>
                      <w:szCs w:val="24"/>
                    </w:rPr>
                  </w:pPr>
                  <w:r w:rsidRPr="00BB7F79">
                    <w:rPr>
                      <w:rFonts w:ascii="Times New Roman" w:hAnsi="Times New Roman" w:cs="Times New Roman"/>
                      <w:sz w:val="24"/>
                      <w:szCs w:val="24"/>
                    </w:rPr>
                    <w:t>The assistance of the DPA of another jurisdiction was required or sought</w:t>
                  </w:r>
                </w:p>
              </w:tc>
            </w:tr>
            <w:tr w:rsidR="00B84D94" w:rsidRPr="00BB7F79" w14:paraId="13AD704B" w14:textId="77777777" w:rsidTr="00B84D94">
              <w:trPr>
                <w:jc w:val="center"/>
              </w:trPr>
              <w:tc>
                <w:tcPr>
                  <w:tcW w:w="7137" w:type="dxa"/>
                </w:tcPr>
                <w:p w14:paraId="45FACD8E" w14:textId="77777777" w:rsidR="00B84D94" w:rsidRPr="00BB7F79" w:rsidRDefault="00B84D94" w:rsidP="00DA600F">
                  <w:pPr>
                    <w:rPr>
                      <w:rFonts w:ascii="Times New Roman" w:hAnsi="Times New Roman" w:cs="Times New Roman"/>
                      <w:sz w:val="24"/>
                      <w:szCs w:val="24"/>
                    </w:rPr>
                  </w:pPr>
                  <w:r w:rsidRPr="00BB7F79">
                    <w:rPr>
                      <w:rFonts w:ascii="Times New Roman" w:hAnsi="Times New Roman" w:cs="Times New Roman"/>
                      <w:sz w:val="24"/>
                      <w:szCs w:val="24"/>
                    </w:rPr>
                    <w:t>There was extra-territorial application of the domestic data protection law (e.g. investigation against overseas data controller/processor; penalties were imposed to overseas data controller/processor, etc.)</w:t>
                  </w:r>
                </w:p>
              </w:tc>
            </w:tr>
          </w:tbl>
          <w:p w14:paraId="6DFD5BE5" w14:textId="77777777" w:rsidR="00DA600F" w:rsidRPr="00DD6623" w:rsidRDefault="00DA600F" w:rsidP="00DA600F">
            <w:pPr>
              <w:jc w:val="both"/>
              <w:rPr>
                <w:rFonts w:ascii="Calibri" w:eastAsia="Calibri" w:hAnsi="Calibri" w:cs="Times New Roman"/>
                <w:sz w:val="24"/>
                <w:szCs w:val="24"/>
              </w:rPr>
            </w:pPr>
          </w:p>
          <w:p w14:paraId="23651173" w14:textId="77777777" w:rsidR="00DD6623" w:rsidRDefault="00B84D94" w:rsidP="00DD6623">
            <w:pPr>
              <w:rPr>
                <w:rFonts w:ascii="Calibri" w:eastAsia="Calibri" w:hAnsi="Calibri" w:cs="Times New Roman"/>
                <w:sz w:val="24"/>
                <w:szCs w:val="24"/>
              </w:rPr>
            </w:pPr>
            <w:r>
              <w:rPr>
                <w:rFonts w:ascii="Calibri" w:eastAsia="Calibri" w:hAnsi="Calibri" w:cs="Times New Roman"/>
                <w:sz w:val="24"/>
                <w:szCs w:val="24"/>
              </w:rPr>
              <w:t>And last, but not least, a third map that enables the user to identify by country the specifications of each case reported by the IEWG members. The following information can be consulted per case:</w:t>
            </w:r>
          </w:p>
          <w:p w14:paraId="36D9979D" w14:textId="77777777" w:rsidR="00B84D94" w:rsidRDefault="00B84D94" w:rsidP="00B84D94">
            <w:pPr>
              <w:pStyle w:val="Prrafodelista"/>
              <w:numPr>
                <w:ilvl w:val="0"/>
                <w:numId w:val="6"/>
              </w:numPr>
              <w:rPr>
                <w:rFonts w:ascii="Calibri" w:eastAsia="Calibri" w:hAnsi="Calibri" w:cs="Times New Roman"/>
                <w:sz w:val="24"/>
                <w:szCs w:val="24"/>
              </w:rPr>
            </w:pPr>
            <w:r>
              <w:rPr>
                <w:rFonts w:ascii="Calibri" w:eastAsia="Calibri" w:hAnsi="Calibri" w:cs="Times New Roman"/>
                <w:sz w:val="24"/>
                <w:szCs w:val="24"/>
              </w:rPr>
              <w:t>Jurisdiction</w:t>
            </w:r>
          </w:p>
          <w:p w14:paraId="47D680E0" w14:textId="77777777" w:rsidR="00B84D94" w:rsidRDefault="00B84D94" w:rsidP="00B84D94">
            <w:pPr>
              <w:pStyle w:val="Prrafodelista"/>
              <w:numPr>
                <w:ilvl w:val="0"/>
                <w:numId w:val="6"/>
              </w:numPr>
              <w:rPr>
                <w:rFonts w:ascii="Calibri" w:eastAsia="Calibri" w:hAnsi="Calibri" w:cs="Times New Roman"/>
                <w:sz w:val="24"/>
                <w:szCs w:val="24"/>
              </w:rPr>
            </w:pPr>
            <w:r>
              <w:rPr>
                <w:rFonts w:ascii="Calibri" w:eastAsia="Calibri" w:hAnsi="Calibri" w:cs="Times New Roman"/>
                <w:sz w:val="24"/>
                <w:szCs w:val="24"/>
              </w:rPr>
              <w:lastRenderedPageBreak/>
              <w:t>Data Protection Authority</w:t>
            </w:r>
          </w:p>
          <w:p w14:paraId="36FB6DA7" w14:textId="77777777" w:rsidR="00B84D94" w:rsidRPr="00B84D94" w:rsidRDefault="00B84D94" w:rsidP="00B84D94">
            <w:pPr>
              <w:pStyle w:val="Prrafodelista"/>
              <w:numPr>
                <w:ilvl w:val="0"/>
                <w:numId w:val="6"/>
              </w:numPr>
              <w:rPr>
                <w:rFonts w:ascii="Calibri" w:eastAsia="Calibri" w:hAnsi="Calibri" w:cs="Times New Roman"/>
                <w:sz w:val="24"/>
                <w:szCs w:val="24"/>
              </w:rPr>
            </w:pPr>
            <w:r w:rsidRPr="00042C93">
              <w:rPr>
                <w:rFonts w:ascii="Times New Roman" w:hAnsi="Times New Roman" w:cs="Times New Roman"/>
                <w:sz w:val="24"/>
                <w:szCs w:val="24"/>
              </w:rPr>
              <w:t>Year in which the investigation was initiated</w:t>
            </w:r>
          </w:p>
          <w:p w14:paraId="424504E8" w14:textId="77777777" w:rsidR="00B84D94" w:rsidRPr="00B84D94" w:rsidRDefault="00B84D94" w:rsidP="00B84D94">
            <w:pPr>
              <w:pStyle w:val="Prrafodelista"/>
              <w:numPr>
                <w:ilvl w:val="0"/>
                <w:numId w:val="6"/>
              </w:numPr>
              <w:rPr>
                <w:rFonts w:ascii="Calibri" w:eastAsia="Calibri" w:hAnsi="Calibri" w:cs="Times New Roman"/>
                <w:sz w:val="24"/>
                <w:szCs w:val="24"/>
              </w:rPr>
            </w:pPr>
            <w:r w:rsidRPr="0046308C">
              <w:rPr>
                <w:rFonts w:ascii="Times New Roman" w:hAnsi="Times New Roman" w:cs="Times New Roman"/>
                <w:sz w:val="24"/>
                <w:szCs w:val="24"/>
              </w:rPr>
              <w:t xml:space="preserve">Year in which the enforcement measure was </w:t>
            </w:r>
            <w:r>
              <w:rPr>
                <w:rFonts w:ascii="Times New Roman" w:hAnsi="Times New Roman" w:cs="Times New Roman"/>
                <w:sz w:val="24"/>
                <w:szCs w:val="24"/>
              </w:rPr>
              <w:t>imposed</w:t>
            </w:r>
          </w:p>
          <w:p w14:paraId="182C701E" w14:textId="77777777" w:rsidR="00B84D94" w:rsidRPr="00B84D94" w:rsidRDefault="00B84D94" w:rsidP="00B84D94">
            <w:pPr>
              <w:pStyle w:val="Prrafodelista"/>
              <w:numPr>
                <w:ilvl w:val="0"/>
                <w:numId w:val="6"/>
              </w:numPr>
              <w:rPr>
                <w:rFonts w:ascii="Calibri" w:eastAsia="Calibri" w:hAnsi="Calibri" w:cs="Times New Roman"/>
                <w:sz w:val="24"/>
                <w:szCs w:val="24"/>
              </w:rPr>
            </w:pPr>
            <w:r w:rsidRPr="00042C93">
              <w:rPr>
                <w:rFonts w:ascii="Times New Roman" w:hAnsi="Times New Roman" w:cs="Times New Roman"/>
                <w:sz w:val="24"/>
                <w:szCs w:val="24"/>
              </w:rPr>
              <w:t>Case number / name</w:t>
            </w:r>
          </w:p>
          <w:p w14:paraId="276A8A3F" w14:textId="77777777" w:rsidR="00B84D94" w:rsidRPr="00B84D94" w:rsidRDefault="00B84D94"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Type of institution of the data controller/processor</w:t>
            </w:r>
          </w:p>
          <w:p w14:paraId="3C7D903D" w14:textId="77777777" w:rsidR="00B84D94" w:rsidRPr="00B84D94" w:rsidRDefault="00B84D94"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Description of the case</w:t>
            </w:r>
          </w:p>
          <w:p w14:paraId="450FBC12" w14:textId="77777777" w:rsidR="00B84D94" w:rsidRPr="00B84D94" w:rsidRDefault="00B84D94"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Enforcement tool imposed</w:t>
            </w:r>
          </w:p>
          <w:p w14:paraId="0E0BDAB2" w14:textId="77777777" w:rsidR="00B84D94" w:rsidRPr="00A42B52" w:rsidRDefault="00B84D94"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T</w:t>
            </w:r>
            <w:r w:rsidRPr="00042C93">
              <w:rPr>
                <w:rFonts w:ascii="Times New Roman" w:hAnsi="Times New Roman" w:cs="Times New Roman"/>
                <w:sz w:val="24"/>
                <w:szCs w:val="24"/>
              </w:rPr>
              <w:t>ransnational implication</w:t>
            </w:r>
            <w:r>
              <w:rPr>
                <w:rFonts w:ascii="Times New Roman" w:hAnsi="Times New Roman" w:cs="Times New Roman"/>
                <w:sz w:val="24"/>
                <w:szCs w:val="24"/>
              </w:rPr>
              <w:t xml:space="preserve"> of the case</w:t>
            </w:r>
          </w:p>
          <w:p w14:paraId="67C07D61" w14:textId="77777777" w:rsidR="00A42B52" w:rsidRPr="00A42B52" w:rsidRDefault="00A42B52"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Enforcement cooperation mechanisms used (if any)</w:t>
            </w:r>
          </w:p>
          <w:p w14:paraId="6C9DECF8" w14:textId="77777777" w:rsidR="00A42B52" w:rsidRPr="00A42B52" w:rsidRDefault="00A42B52"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Technologies involved in the case (if any)</w:t>
            </w:r>
          </w:p>
          <w:p w14:paraId="10282A6C" w14:textId="0198C974" w:rsidR="00A42B52" w:rsidRPr="00B84D94" w:rsidRDefault="00A42B52" w:rsidP="00B84D94">
            <w:pPr>
              <w:pStyle w:val="Prrafodelista"/>
              <w:numPr>
                <w:ilvl w:val="0"/>
                <w:numId w:val="6"/>
              </w:numPr>
              <w:rPr>
                <w:rFonts w:ascii="Calibri" w:eastAsia="Calibri" w:hAnsi="Calibri" w:cs="Times New Roman"/>
                <w:sz w:val="24"/>
                <w:szCs w:val="24"/>
              </w:rPr>
            </w:pPr>
            <w:r>
              <w:rPr>
                <w:rFonts w:ascii="Times New Roman" w:hAnsi="Times New Roman" w:cs="Times New Roman"/>
                <w:sz w:val="24"/>
                <w:szCs w:val="24"/>
              </w:rPr>
              <w:t>Hyperlink to the case</w:t>
            </w: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7488B25E" w14:textId="3FED6D26" w:rsidR="0073058F" w:rsidRDefault="0073058F" w:rsidP="0092055B">
            <w:pPr>
              <w:jc w:val="both"/>
              <w:rPr>
                <w:rFonts w:ascii="Calibri" w:eastAsia="Calibri" w:hAnsi="Calibri" w:cs="Times New Roman"/>
                <w:sz w:val="24"/>
                <w:szCs w:val="24"/>
              </w:rPr>
            </w:pPr>
            <w:r>
              <w:rPr>
                <w:rFonts w:ascii="Calibri" w:eastAsia="Calibri" w:hAnsi="Calibri" w:cs="Times New Roman"/>
                <w:sz w:val="24"/>
                <w:szCs w:val="24"/>
              </w:rPr>
              <w:t>The Transnational Case</w:t>
            </w:r>
            <w:r w:rsidR="00351783">
              <w:rPr>
                <w:rFonts w:ascii="Calibri" w:eastAsia="Calibri" w:hAnsi="Calibri" w:cs="Times New Roman"/>
                <w:sz w:val="24"/>
                <w:szCs w:val="24"/>
              </w:rPr>
              <w:t>s</w:t>
            </w:r>
            <w:r>
              <w:rPr>
                <w:rFonts w:ascii="Calibri" w:eastAsia="Calibri" w:hAnsi="Calibri" w:cs="Times New Roman"/>
                <w:sz w:val="24"/>
                <w:szCs w:val="24"/>
              </w:rPr>
              <w:t xml:space="preserve"> Map</w:t>
            </w:r>
            <w:r w:rsidR="00351783">
              <w:rPr>
                <w:rFonts w:ascii="Calibri" w:eastAsia="Calibri" w:hAnsi="Calibri" w:cs="Times New Roman"/>
                <w:sz w:val="24"/>
                <w:szCs w:val="24"/>
              </w:rPr>
              <w:t xml:space="preserve"> </w:t>
            </w:r>
            <w:r w:rsidR="00351783" w:rsidRPr="00351783">
              <w:rPr>
                <w:rFonts w:ascii="Calibri" w:eastAsia="Calibri" w:hAnsi="Calibri" w:cs="Times New Roman"/>
                <w:sz w:val="24"/>
                <w:szCs w:val="24"/>
              </w:rPr>
              <w:t>should be rewarded not only for its innovative way of making information on enforcement tools available to the community, but also for being an ideal tool for teaching personal data protection authorities about each other.</w:t>
            </w:r>
          </w:p>
          <w:p w14:paraId="4AB68EBA" w14:textId="588E4A3D" w:rsidR="00351783" w:rsidRDefault="00351783" w:rsidP="0092055B">
            <w:pPr>
              <w:jc w:val="both"/>
              <w:rPr>
                <w:rFonts w:ascii="Calibri" w:eastAsia="Calibri" w:hAnsi="Calibri" w:cs="Times New Roman"/>
                <w:sz w:val="24"/>
                <w:szCs w:val="24"/>
              </w:rPr>
            </w:pPr>
          </w:p>
          <w:p w14:paraId="4B4D66CF" w14:textId="77777777" w:rsidR="00DD6623" w:rsidRDefault="00351783" w:rsidP="0092055B">
            <w:pPr>
              <w:jc w:val="both"/>
              <w:rPr>
                <w:rFonts w:ascii="Calibri" w:eastAsia="Calibri" w:hAnsi="Calibri" w:cs="Times New Roman"/>
                <w:sz w:val="24"/>
                <w:szCs w:val="24"/>
              </w:rPr>
            </w:pPr>
            <w:r>
              <w:rPr>
                <w:rFonts w:ascii="Calibri" w:eastAsia="Calibri" w:hAnsi="Calibri" w:cs="Times New Roman"/>
                <w:sz w:val="24"/>
                <w:szCs w:val="24"/>
              </w:rPr>
              <w:t xml:space="preserve">The Transnational Case Map </w:t>
            </w:r>
            <w:r w:rsidRPr="00351783">
              <w:rPr>
                <w:rFonts w:ascii="Calibri" w:eastAsia="Calibri" w:hAnsi="Calibri" w:cs="Times New Roman"/>
                <w:sz w:val="24"/>
                <w:szCs w:val="24"/>
              </w:rPr>
              <w:t xml:space="preserve">is a constantly evolving product. This is due to the fact that it is intended to be updated year by year with </w:t>
            </w:r>
            <w:r>
              <w:rPr>
                <w:rFonts w:ascii="Calibri" w:eastAsia="Calibri" w:hAnsi="Calibri" w:cs="Times New Roman"/>
                <w:sz w:val="24"/>
                <w:szCs w:val="24"/>
              </w:rPr>
              <w:t>transnational</w:t>
            </w:r>
            <w:r w:rsidRPr="00351783">
              <w:rPr>
                <w:rFonts w:ascii="Calibri" w:eastAsia="Calibri" w:hAnsi="Calibri" w:cs="Times New Roman"/>
                <w:sz w:val="24"/>
                <w:szCs w:val="24"/>
              </w:rPr>
              <w:t xml:space="preserve"> cases. In this way, enforcement tools are being taught</w:t>
            </w:r>
            <w:r>
              <w:rPr>
                <w:rFonts w:ascii="Calibri" w:eastAsia="Calibri" w:hAnsi="Calibri" w:cs="Times New Roman"/>
                <w:sz w:val="24"/>
                <w:szCs w:val="24"/>
              </w:rPr>
              <w:t xml:space="preserve">, analyse and compared year by year. </w:t>
            </w:r>
          </w:p>
          <w:p w14:paraId="59FAB803" w14:textId="77777777" w:rsidR="0092055B" w:rsidRDefault="0092055B" w:rsidP="0092055B">
            <w:pPr>
              <w:jc w:val="both"/>
              <w:rPr>
                <w:rFonts w:ascii="Calibri" w:eastAsia="Calibri" w:hAnsi="Calibri" w:cs="Times New Roman"/>
                <w:sz w:val="24"/>
                <w:szCs w:val="24"/>
              </w:rPr>
            </w:pPr>
          </w:p>
          <w:p w14:paraId="0A9235CF" w14:textId="77777777" w:rsidR="0092055B" w:rsidRDefault="0092055B" w:rsidP="0092055B">
            <w:pPr>
              <w:jc w:val="both"/>
              <w:rPr>
                <w:rFonts w:ascii="Calibri" w:eastAsia="Calibri" w:hAnsi="Calibri" w:cs="Times New Roman"/>
                <w:sz w:val="24"/>
                <w:szCs w:val="24"/>
              </w:rPr>
            </w:pPr>
            <w:r>
              <w:rPr>
                <w:rFonts w:ascii="Calibri" w:eastAsia="Calibri" w:hAnsi="Calibri" w:cs="Times New Roman"/>
                <w:sz w:val="24"/>
                <w:szCs w:val="24"/>
              </w:rPr>
              <w:t>The interactive method of the map helps the privacy community to embrace another source of primary information on relevant topics such as:</w:t>
            </w:r>
          </w:p>
          <w:p w14:paraId="422DDD89" w14:textId="7498A01E" w:rsidR="0092055B" w:rsidRDefault="0092055B" w:rsidP="00DD6623">
            <w:pPr>
              <w:rPr>
                <w:rFonts w:ascii="Calibri" w:eastAsia="Calibri" w:hAnsi="Calibri" w:cs="Times New Roman"/>
                <w:sz w:val="24"/>
                <w:szCs w:val="24"/>
              </w:rPr>
            </w:pPr>
          </w:p>
          <w:p w14:paraId="1E438674" w14:textId="124D5277" w:rsidR="0092055B" w:rsidRDefault="0092055B" w:rsidP="0092055B">
            <w:pPr>
              <w:pStyle w:val="Prrafodelista"/>
              <w:numPr>
                <w:ilvl w:val="0"/>
                <w:numId w:val="7"/>
              </w:numPr>
              <w:rPr>
                <w:rFonts w:ascii="Calibri" w:eastAsia="Calibri" w:hAnsi="Calibri" w:cs="Times New Roman"/>
                <w:sz w:val="24"/>
                <w:szCs w:val="24"/>
              </w:rPr>
            </w:pPr>
            <w:r>
              <w:rPr>
                <w:rFonts w:ascii="Calibri" w:eastAsia="Calibri" w:hAnsi="Calibri" w:cs="Times New Roman"/>
                <w:sz w:val="24"/>
                <w:szCs w:val="24"/>
              </w:rPr>
              <w:t xml:space="preserve">Transnational data protection investigations. </w:t>
            </w:r>
          </w:p>
          <w:p w14:paraId="7C5E57FF" w14:textId="72BC0446" w:rsidR="0092055B" w:rsidRDefault="0092055B" w:rsidP="0092055B">
            <w:pPr>
              <w:pStyle w:val="Prrafodelista"/>
              <w:numPr>
                <w:ilvl w:val="0"/>
                <w:numId w:val="7"/>
              </w:numPr>
              <w:rPr>
                <w:rFonts w:ascii="Calibri" w:eastAsia="Calibri" w:hAnsi="Calibri" w:cs="Times New Roman"/>
                <w:sz w:val="24"/>
                <w:szCs w:val="24"/>
              </w:rPr>
            </w:pPr>
            <w:r>
              <w:rPr>
                <w:rFonts w:ascii="Calibri" w:eastAsia="Calibri" w:hAnsi="Calibri" w:cs="Times New Roman"/>
                <w:sz w:val="24"/>
                <w:szCs w:val="24"/>
              </w:rPr>
              <w:t xml:space="preserve">Data protection convergence. </w:t>
            </w:r>
          </w:p>
          <w:p w14:paraId="31FCD5E9" w14:textId="328767D0" w:rsidR="0092055B" w:rsidRDefault="0092055B" w:rsidP="0092055B">
            <w:pPr>
              <w:pStyle w:val="Prrafodelista"/>
              <w:numPr>
                <w:ilvl w:val="0"/>
                <w:numId w:val="7"/>
              </w:numPr>
              <w:rPr>
                <w:rFonts w:ascii="Calibri" w:eastAsia="Calibri" w:hAnsi="Calibri" w:cs="Times New Roman"/>
                <w:sz w:val="24"/>
                <w:szCs w:val="24"/>
              </w:rPr>
            </w:pPr>
            <w:r>
              <w:rPr>
                <w:rFonts w:ascii="Calibri" w:eastAsia="Calibri" w:hAnsi="Calibri" w:cs="Times New Roman"/>
                <w:sz w:val="24"/>
                <w:szCs w:val="24"/>
              </w:rPr>
              <w:t>Cooperation between Data Protection Authorities.</w:t>
            </w:r>
          </w:p>
          <w:p w14:paraId="4120D298" w14:textId="571087C2" w:rsidR="0092055B" w:rsidRPr="00C933BD" w:rsidRDefault="0092055B" w:rsidP="00DD6623">
            <w:pPr>
              <w:pStyle w:val="Prrafodelista"/>
              <w:numPr>
                <w:ilvl w:val="0"/>
                <w:numId w:val="7"/>
              </w:numPr>
              <w:rPr>
                <w:rFonts w:ascii="Calibri" w:eastAsia="Calibri" w:hAnsi="Calibri" w:cs="Times New Roman"/>
                <w:sz w:val="24"/>
                <w:szCs w:val="24"/>
              </w:rPr>
            </w:pPr>
            <w:r>
              <w:rPr>
                <w:rFonts w:ascii="Calibri" w:eastAsia="Calibri" w:hAnsi="Calibri" w:cs="Times New Roman"/>
                <w:sz w:val="24"/>
                <w:szCs w:val="24"/>
              </w:rPr>
              <w:t>Enforcement tools.</w:t>
            </w: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15988401" w14:textId="77777777" w:rsidR="00DD6623" w:rsidRPr="00DD6623" w:rsidRDefault="00DD6623" w:rsidP="00DD6623">
            <w:pPr>
              <w:rPr>
                <w:rFonts w:ascii="Calibri" w:eastAsia="Calibri" w:hAnsi="Calibri" w:cs="Times New Roman"/>
                <w:sz w:val="24"/>
                <w:szCs w:val="24"/>
              </w:rPr>
            </w:pPr>
          </w:p>
          <w:p w14:paraId="170CE85E" w14:textId="425A14E2" w:rsidR="00DD6623" w:rsidRPr="00DD6623" w:rsidRDefault="00F15AC0" w:rsidP="00F15AC0">
            <w:pPr>
              <w:jc w:val="center"/>
              <w:rPr>
                <w:rFonts w:ascii="Calibri" w:eastAsia="Calibri" w:hAnsi="Calibri" w:cs="Times New Roman"/>
                <w:sz w:val="24"/>
                <w:szCs w:val="24"/>
              </w:rPr>
            </w:pPr>
            <w:r>
              <w:rPr>
                <w:rFonts w:ascii="Calibri" w:eastAsia="Calibri" w:hAnsi="Calibri" w:cs="Times New Roman"/>
                <w:noProof/>
                <w:sz w:val="24"/>
                <w:szCs w:val="24"/>
              </w:rPr>
              <w:lastRenderedPageBreak/>
              <w:drawing>
                <wp:inline distT="0" distB="0" distL="0" distR="0" wp14:anchorId="14DFED42" wp14:editId="326307BC">
                  <wp:extent cx="4969934" cy="2722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86832" cy="2732095"/>
                          </a:xfrm>
                          <a:prstGeom prst="rect">
                            <a:avLst/>
                          </a:prstGeom>
                        </pic:spPr>
                      </pic:pic>
                    </a:graphicData>
                  </a:graphic>
                </wp:inline>
              </w:drawing>
            </w: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38043EF4" w14:textId="01978E37" w:rsidR="00DD6623" w:rsidRPr="0087393B" w:rsidRDefault="0087393B" w:rsidP="00DD6623">
            <w:r w:rsidRPr="0087393B">
              <w:rPr>
                <w:rFonts w:ascii="Calibri" w:eastAsia="Calibri" w:hAnsi="Calibri" w:cs="Times New Roman"/>
                <w:sz w:val="24"/>
                <w:szCs w:val="24"/>
              </w:rPr>
              <w:t>Map</w:t>
            </w:r>
            <w:r>
              <w:rPr>
                <w:rFonts w:ascii="Calibri" w:eastAsia="Calibri" w:hAnsi="Calibri" w:cs="Times New Roman"/>
                <w:i/>
                <w:iCs/>
                <w:sz w:val="24"/>
                <w:szCs w:val="24"/>
              </w:rPr>
              <w:t xml:space="preserve">: </w:t>
            </w:r>
            <w:hyperlink r:id="rId15" w:history="1">
              <w:r>
                <w:rPr>
                  <w:rStyle w:val="Hipervnculo"/>
                </w:rPr>
                <w:t>Microsoft Power BI</w:t>
              </w:r>
            </w:hyperlink>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(e.g.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150F5303" w14:textId="77777777" w:rsidR="00A42B52" w:rsidRDefault="00A42B52" w:rsidP="00A42B52">
            <w:pPr>
              <w:jc w:val="center"/>
              <w:rPr>
                <w:sz w:val="24"/>
                <w:szCs w:val="24"/>
                <w:u w:val="single"/>
              </w:rPr>
            </w:pPr>
            <w:r>
              <w:rPr>
                <w:sz w:val="24"/>
                <w:szCs w:val="24"/>
                <w:u w:val="single"/>
              </w:rPr>
              <w:t>IEWG 2022 Transnational Case Map – Statistical Analysis Appendix</w:t>
            </w:r>
          </w:p>
          <w:p w14:paraId="07F061A6" w14:textId="77777777" w:rsidR="00A42B52" w:rsidRDefault="00A42B52" w:rsidP="00A42B52">
            <w:pPr>
              <w:jc w:val="both"/>
              <w:rPr>
                <w:b/>
                <w:bCs/>
                <w:sz w:val="24"/>
                <w:szCs w:val="24"/>
              </w:rPr>
            </w:pPr>
            <w:r>
              <w:rPr>
                <w:b/>
                <w:bCs/>
                <w:sz w:val="24"/>
                <w:szCs w:val="24"/>
              </w:rPr>
              <w:t>Q5. What type(s) of institution may the controller/processor involved in the case be categorised as?</w:t>
            </w:r>
          </w:p>
          <w:p w14:paraId="2BDEE2B1" w14:textId="6AD15B49" w:rsidR="00A42B52" w:rsidRDefault="00A42B52" w:rsidP="00A42B52">
            <w:pPr>
              <w:jc w:val="center"/>
              <w:rPr>
                <w:sz w:val="24"/>
                <w:szCs w:val="24"/>
              </w:rPr>
            </w:pPr>
            <w:r>
              <w:rPr>
                <w:noProof/>
              </w:rPr>
              <w:drawing>
                <wp:inline distT="0" distB="0" distL="0" distR="0" wp14:anchorId="00D2DE9F" wp14:editId="6F38A2FB">
                  <wp:extent cx="4258945" cy="2592705"/>
                  <wp:effectExtent l="0" t="0" r="8255" b="10795"/>
                  <wp:docPr id="7" name="Gráfico 7">
                    <a:extLst xmlns:a="http://schemas.openxmlformats.org/drawingml/2006/main">
                      <a:ext uri="{FF2B5EF4-FFF2-40B4-BE49-F238E27FC236}">
                        <a16:creationId xmlns:a16="http://schemas.microsoft.com/office/drawing/2014/main" id="{AD7EFBD7-B7E5-4F5C-83BA-C0972ED2B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0AB5B6C" w14:textId="77777777" w:rsidR="00A42B52" w:rsidRDefault="00A42B52" w:rsidP="00A42B52">
            <w:pPr>
              <w:jc w:val="center"/>
              <w:rPr>
                <w:sz w:val="16"/>
                <w:szCs w:val="16"/>
              </w:rPr>
            </w:pPr>
            <w:r>
              <w:rPr>
                <w:sz w:val="16"/>
                <w:szCs w:val="16"/>
              </w:rPr>
              <w:t>Total number of cases reported: 24</w:t>
            </w:r>
          </w:p>
          <w:p w14:paraId="68DEFDC5" w14:textId="77777777" w:rsidR="00A42B52" w:rsidRDefault="00A42B52" w:rsidP="00A42B52">
            <w:pPr>
              <w:jc w:val="both"/>
              <w:rPr>
                <w:sz w:val="24"/>
                <w:szCs w:val="24"/>
              </w:rPr>
            </w:pPr>
          </w:p>
          <w:p w14:paraId="4DBA6FF8" w14:textId="77777777" w:rsidR="00A42B52" w:rsidRDefault="00A42B52" w:rsidP="00A42B52">
            <w:pPr>
              <w:jc w:val="both"/>
              <w:rPr>
                <w:i/>
                <w:iCs/>
                <w:sz w:val="24"/>
                <w:szCs w:val="24"/>
                <w:u w:val="single"/>
              </w:rPr>
            </w:pPr>
            <w:r>
              <w:rPr>
                <w:i/>
                <w:iCs/>
                <w:sz w:val="24"/>
                <w:szCs w:val="24"/>
                <w:u w:val="single"/>
              </w:rPr>
              <w:t>Q5. Observations</w:t>
            </w:r>
          </w:p>
          <w:p w14:paraId="04664B2C" w14:textId="77777777" w:rsidR="00A42B52" w:rsidRDefault="00A42B52" w:rsidP="00A42B52">
            <w:pPr>
              <w:jc w:val="both"/>
              <w:rPr>
                <w:sz w:val="24"/>
                <w:szCs w:val="24"/>
              </w:rPr>
            </w:pPr>
            <w:r>
              <w:rPr>
                <w:sz w:val="24"/>
                <w:szCs w:val="24"/>
              </w:rPr>
              <w:t>The most common type of institution being the subject of the reported transnational cases was 'Online platforms' (14 cases), followed by 'Big enterprises' (11 cases). The types listed are not treated as mutually exclusive.</w:t>
            </w:r>
          </w:p>
          <w:p w14:paraId="635E94CC" w14:textId="77777777" w:rsidR="00A42B52" w:rsidRDefault="00A42B52" w:rsidP="00A42B52">
            <w:pPr>
              <w:jc w:val="both"/>
              <w:rPr>
                <w:sz w:val="24"/>
                <w:szCs w:val="24"/>
              </w:rPr>
            </w:pPr>
            <w:r>
              <w:rPr>
                <w:sz w:val="24"/>
                <w:szCs w:val="24"/>
              </w:rPr>
              <w:lastRenderedPageBreak/>
              <w:t>Institutions reported as belonging to the 'Others' category included Airline, Ticket retailer, Financial institution, Facial Recognition company, and Developers of software for education.</w:t>
            </w:r>
          </w:p>
          <w:p w14:paraId="3E7F50B1" w14:textId="77777777" w:rsidR="00A42B52" w:rsidRDefault="00A42B52" w:rsidP="00A42B52">
            <w:pPr>
              <w:jc w:val="both"/>
              <w:rPr>
                <w:sz w:val="24"/>
                <w:szCs w:val="24"/>
              </w:rPr>
            </w:pPr>
          </w:p>
          <w:p w14:paraId="3547766F" w14:textId="77777777" w:rsidR="00A42B52" w:rsidRDefault="00A42B52" w:rsidP="00A42B52">
            <w:pPr>
              <w:jc w:val="both"/>
              <w:rPr>
                <w:rFonts w:eastAsia="PMingLiU"/>
                <w:b/>
                <w:bCs/>
                <w:sz w:val="24"/>
                <w:szCs w:val="24"/>
                <w:lang w:eastAsia="zh-TW"/>
              </w:rPr>
            </w:pPr>
            <w:r>
              <w:rPr>
                <w:b/>
                <w:bCs/>
                <w:sz w:val="24"/>
                <w:szCs w:val="24"/>
              </w:rPr>
              <w:t>Q7. What was the enforcement measure(s) imposed (e.g. sanction, administrative order or other)?</w:t>
            </w:r>
          </w:p>
          <w:p w14:paraId="11975BE4" w14:textId="16D9FFD8" w:rsidR="00A42B52" w:rsidRDefault="00A42B52" w:rsidP="00A42B52">
            <w:pPr>
              <w:jc w:val="center"/>
              <w:rPr>
                <w:rFonts w:eastAsiaTheme="minorEastAsia"/>
                <w:sz w:val="24"/>
                <w:szCs w:val="24"/>
                <w:lang w:eastAsia="zh-CN"/>
              </w:rPr>
            </w:pPr>
            <w:r>
              <w:rPr>
                <w:noProof/>
              </w:rPr>
              <w:drawing>
                <wp:inline distT="0" distB="0" distL="0" distR="0" wp14:anchorId="34B33388" wp14:editId="659EC435">
                  <wp:extent cx="4208780" cy="2480310"/>
                  <wp:effectExtent l="0" t="0" r="7620" b="8890"/>
                  <wp:docPr id="3" name="Gráfico 3">
                    <a:extLst xmlns:a="http://schemas.openxmlformats.org/drawingml/2006/main">
                      <a:ext uri="{FF2B5EF4-FFF2-40B4-BE49-F238E27FC236}">
                        <a16:creationId xmlns:a16="http://schemas.microsoft.com/office/drawing/2014/main" id="{1D6F4883-11A9-4AF7-A889-295A432789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ACEBF4" w14:textId="77777777" w:rsidR="00A42B52" w:rsidRDefault="00A42B52" w:rsidP="00A42B52">
            <w:pPr>
              <w:jc w:val="center"/>
              <w:rPr>
                <w:sz w:val="16"/>
                <w:szCs w:val="16"/>
              </w:rPr>
            </w:pPr>
            <w:r>
              <w:rPr>
                <w:sz w:val="16"/>
                <w:szCs w:val="16"/>
              </w:rPr>
              <w:t>Total number of cases reported: 24</w:t>
            </w:r>
          </w:p>
          <w:p w14:paraId="62E4DD55" w14:textId="77777777" w:rsidR="00A42B52" w:rsidRDefault="00A42B52" w:rsidP="00A42B52">
            <w:pPr>
              <w:jc w:val="both"/>
              <w:rPr>
                <w:i/>
                <w:iCs/>
                <w:sz w:val="24"/>
                <w:szCs w:val="24"/>
                <w:u w:val="single"/>
              </w:rPr>
            </w:pPr>
            <w:r>
              <w:rPr>
                <w:i/>
                <w:iCs/>
                <w:sz w:val="24"/>
                <w:szCs w:val="24"/>
                <w:u w:val="single"/>
              </w:rPr>
              <w:t>Q7. Observations</w:t>
            </w:r>
          </w:p>
          <w:p w14:paraId="010C0317" w14:textId="77777777" w:rsidR="00A42B52" w:rsidRDefault="00A42B52" w:rsidP="00A42B52">
            <w:pPr>
              <w:jc w:val="both"/>
              <w:rPr>
                <w:sz w:val="24"/>
                <w:szCs w:val="24"/>
              </w:rPr>
            </w:pPr>
            <w:r>
              <w:rPr>
                <w:sz w:val="24"/>
                <w:szCs w:val="24"/>
              </w:rPr>
              <w:t>In the 24 reported cases, the most popular enforcement measure imposed was 'Order' (15 cases), followed by 'Monetary penalty' (7 cases)</w:t>
            </w:r>
          </w:p>
          <w:p w14:paraId="44DF2A79" w14:textId="77777777" w:rsidR="00A42B52" w:rsidRDefault="00A42B52" w:rsidP="00A42B52">
            <w:pPr>
              <w:jc w:val="both"/>
              <w:rPr>
                <w:sz w:val="24"/>
                <w:szCs w:val="24"/>
              </w:rPr>
            </w:pPr>
            <w:r>
              <w:rPr>
                <w:sz w:val="24"/>
                <w:szCs w:val="24"/>
              </w:rPr>
              <w:t>Order includes, for example, a compliance order to stop processing of personal data, a cease and desist order to remove content, etc. The legal mechanisms behind the orders would vary according to each jurisdiction.</w:t>
            </w:r>
          </w:p>
          <w:p w14:paraId="406D48BD" w14:textId="77777777" w:rsidR="00A42B52" w:rsidRDefault="00A42B52" w:rsidP="00A42B52">
            <w:pPr>
              <w:jc w:val="both"/>
              <w:rPr>
                <w:sz w:val="24"/>
                <w:szCs w:val="24"/>
              </w:rPr>
            </w:pPr>
            <w:r>
              <w:rPr>
                <w:sz w:val="24"/>
                <w:szCs w:val="24"/>
              </w:rPr>
              <w:t>The highest monetary penalties reported was the £20 million monetary fine imposed by ICO UK to British Airways, followed by the £18.4 million monetary fine imposed by ICO UK to Marriot International Inc.</w:t>
            </w:r>
          </w:p>
          <w:p w14:paraId="3B8C455D" w14:textId="77777777" w:rsidR="00A42B52" w:rsidRDefault="00A42B52" w:rsidP="00A42B52">
            <w:pPr>
              <w:jc w:val="both"/>
              <w:rPr>
                <w:sz w:val="24"/>
                <w:szCs w:val="24"/>
              </w:rPr>
            </w:pPr>
          </w:p>
          <w:p w14:paraId="0F4DDE4D" w14:textId="77777777" w:rsidR="00A42B52" w:rsidRDefault="00A42B52" w:rsidP="00A42B52">
            <w:pPr>
              <w:jc w:val="both"/>
              <w:rPr>
                <w:b/>
                <w:bCs/>
                <w:sz w:val="24"/>
                <w:szCs w:val="24"/>
              </w:rPr>
            </w:pPr>
            <w:r>
              <w:rPr>
                <w:b/>
                <w:bCs/>
                <w:sz w:val="24"/>
                <w:szCs w:val="24"/>
              </w:rPr>
              <w:t>Q8. What was the transnational implication of the case?</w:t>
            </w:r>
          </w:p>
          <w:p w14:paraId="3955D776" w14:textId="4273D5D8" w:rsidR="00A42B52" w:rsidRDefault="00A42B52" w:rsidP="00A42B52">
            <w:pPr>
              <w:jc w:val="center"/>
              <w:rPr>
                <w:sz w:val="24"/>
                <w:szCs w:val="24"/>
              </w:rPr>
            </w:pPr>
            <w:r>
              <w:rPr>
                <w:noProof/>
              </w:rPr>
              <w:drawing>
                <wp:inline distT="0" distB="0" distL="0" distR="0" wp14:anchorId="59CCC3F8" wp14:editId="34C3467C">
                  <wp:extent cx="4659630" cy="2856230"/>
                  <wp:effectExtent l="0" t="0" r="13970" b="13970"/>
                  <wp:docPr id="4" name="Gráfico 4">
                    <a:extLst xmlns:a="http://schemas.openxmlformats.org/drawingml/2006/main">
                      <a:ext uri="{FF2B5EF4-FFF2-40B4-BE49-F238E27FC236}">
                        <a16:creationId xmlns:a16="http://schemas.microsoft.com/office/drawing/2014/main" id="{4FF95EEA-0A83-4AA5-84E1-9F5A7B3CB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79925" w14:textId="77777777" w:rsidR="00A42B52" w:rsidRDefault="00A42B52" w:rsidP="00A42B52">
            <w:pPr>
              <w:jc w:val="center"/>
              <w:rPr>
                <w:sz w:val="16"/>
                <w:szCs w:val="16"/>
              </w:rPr>
            </w:pPr>
            <w:r>
              <w:rPr>
                <w:sz w:val="16"/>
                <w:szCs w:val="16"/>
              </w:rPr>
              <w:t>Total number of cases reported: 24</w:t>
            </w:r>
          </w:p>
          <w:p w14:paraId="48FADAA9" w14:textId="77777777" w:rsidR="00A42B52" w:rsidRDefault="00A42B52" w:rsidP="00A42B52">
            <w:pPr>
              <w:jc w:val="both"/>
              <w:rPr>
                <w:sz w:val="24"/>
                <w:szCs w:val="24"/>
              </w:rPr>
            </w:pPr>
          </w:p>
          <w:p w14:paraId="5AA36467" w14:textId="77777777" w:rsidR="00A42B52" w:rsidRDefault="00A42B52" w:rsidP="00A42B52">
            <w:pPr>
              <w:jc w:val="both"/>
              <w:rPr>
                <w:i/>
                <w:iCs/>
                <w:sz w:val="24"/>
                <w:szCs w:val="24"/>
                <w:u w:val="single"/>
              </w:rPr>
            </w:pPr>
            <w:r>
              <w:rPr>
                <w:i/>
                <w:iCs/>
                <w:sz w:val="24"/>
                <w:szCs w:val="24"/>
                <w:u w:val="single"/>
              </w:rPr>
              <w:t>Q8. Observations</w:t>
            </w:r>
          </w:p>
          <w:p w14:paraId="494FA98C" w14:textId="77777777" w:rsidR="00A42B52" w:rsidRDefault="00A42B52" w:rsidP="00A42B52">
            <w:pPr>
              <w:jc w:val="both"/>
              <w:rPr>
                <w:sz w:val="24"/>
                <w:szCs w:val="24"/>
              </w:rPr>
            </w:pPr>
            <w:r>
              <w:rPr>
                <w:sz w:val="24"/>
                <w:szCs w:val="24"/>
              </w:rPr>
              <w:t>The most commonly reported transnational implications among the 24 cases were 'The data controller/processor operated in more than one jurisdiction' (14 cases); followed by 'Data subjects of other jurisdiction(s) were affected' (13 cases); and 'extra-territorial application of domestic data protection law' (12 cases).</w:t>
            </w:r>
          </w:p>
          <w:p w14:paraId="10282971" w14:textId="77777777" w:rsidR="00A42B52" w:rsidRDefault="00A42B52" w:rsidP="00A42B52">
            <w:pPr>
              <w:jc w:val="both"/>
              <w:rPr>
                <w:sz w:val="24"/>
                <w:szCs w:val="24"/>
              </w:rPr>
            </w:pPr>
            <w:r>
              <w:rPr>
                <w:sz w:val="24"/>
                <w:szCs w:val="24"/>
              </w:rPr>
              <w:t xml:space="preserve">Many cases reported multiple transnational implications. For example, in a data breach incident where the data controller/processor involved operated in another jurisdiction, the data subjects of the other jurisdiction may have also been affected in the case. </w:t>
            </w:r>
          </w:p>
          <w:p w14:paraId="6FCA95C3" w14:textId="77777777" w:rsidR="00A42B52" w:rsidRDefault="00A42B52" w:rsidP="00A42B52">
            <w:pPr>
              <w:jc w:val="both"/>
              <w:rPr>
                <w:sz w:val="24"/>
                <w:szCs w:val="24"/>
              </w:rPr>
            </w:pPr>
            <w:r>
              <w:rPr>
                <w:sz w:val="24"/>
                <w:szCs w:val="24"/>
              </w:rPr>
              <w:br w:type="page"/>
            </w:r>
          </w:p>
          <w:p w14:paraId="49E03F25" w14:textId="77777777" w:rsidR="00A42B52" w:rsidRDefault="00A42B52" w:rsidP="00A42B52">
            <w:pPr>
              <w:jc w:val="both"/>
              <w:rPr>
                <w:b/>
                <w:bCs/>
                <w:sz w:val="24"/>
                <w:szCs w:val="24"/>
              </w:rPr>
            </w:pPr>
            <w:r>
              <w:rPr>
                <w:b/>
                <w:bCs/>
                <w:sz w:val="24"/>
                <w:szCs w:val="24"/>
              </w:rPr>
              <w:t xml:space="preserve">Q.10 If your office engaged in enforcement cooperation with an oversea authority in this case, what transnational cooperation mechanisms (if any) were used? </w:t>
            </w:r>
          </w:p>
          <w:p w14:paraId="3AE33819" w14:textId="5B2C9BBE" w:rsidR="00A42B52" w:rsidRDefault="00A42B52" w:rsidP="00A42B52">
            <w:pPr>
              <w:jc w:val="center"/>
              <w:rPr>
                <w:sz w:val="24"/>
                <w:szCs w:val="24"/>
              </w:rPr>
            </w:pPr>
            <w:r>
              <w:rPr>
                <w:noProof/>
              </w:rPr>
              <w:drawing>
                <wp:inline distT="0" distB="0" distL="0" distR="0" wp14:anchorId="1F86E516" wp14:editId="3B418232">
                  <wp:extent cx="4521835" cy="2918460"/>
                  <wp:effectExtent l="0" t="0" r="12065" b="15240"/>
                  <wp:docPr id="5" name="Gráfico 5">
                    <a:extLst xmlns:a="http://schemas.openxmlformats.org/drawingml/2006/main">
                      <a:ext uri="{FF2B5EF4-FFF2-40B4-BE49-F238E27FC236}">
                        <a16:creationId xmlns:a16="http://schemas.microsoft.com/office/drawing/2014/main" id="{8F764032-7743-476F-AB1F-3218328177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EBDFC3" w14:textId="77777777" w:rsidR="00A42B52" w:rsidRDefault="00A42B52" w:rsidP="00A42B52">
            <w:pPr>
              <w:jc w:val="center"/>
              <w:rPr>
                <w:sz w:val="16"/>
                <w:szCs w:val="16"/>
              </w:rPr>
            </w:pPr>
            <w:r>
              <w:rPr>
                <w:sz w:val="16"/>
                <w:szCs w:val="16"/>
              </w:rPr>
              <w:t>Total number of cases reported: 24</w:t>
            </w:r>
          </w:p>
          <w:p w14:paraId="28F41D06" w14:textId="77777777" w:rsidR="00A42B52" w:rsidRDefault="00A42B52" w:rsidP="00A42B52">
            <w:pPr>
              <w:jc w:val="center"/>
              <w:rPr>
                <w:i/>
                <w:iCs/>
                <w:sz w:val="24"/>
                <w:szCs w:val="24"/>
                <w:u w:val="single"/>
              </w:rPr>
            </w:pPr>
          </w:p>
          <w:p w14:paraId="380A3936" w14:textId="77777777" w:rsidR="00A42B52" w:rsidRDefault="00A42B52" w:rsidP="00A42B52">
            <w:pPr>
              <w:jc w:val="both"/>
              <w:rPr>
                <w:i/>
                <w:iCs/>
                <w:sz w:val="24"/>
                <w:szCs w:val="24"/>
                <w:u w:val="single"/>
              </w:rPr>
            </w:pPr>
            <w:r>
              <w:rPr>
                <w:i/>
                <w:iCs/>
                <w:sz w:val="24"/>
                <w:szCs w:val="24"/>
                <w:u w:val="single"/>
              </w:rPr>
              <w:t>Q10. Observations</w:t>
            </w:r>
          </w:p>
          <w:p w14:paraId="7B4191C6" w14:textId="77777777" w:rsidR="00A42B52" w:rsidRDefault="00A42B52" w:rsidP="00A42B52">
            <w:pPr>
              <w:jc w:val="both"/>
              <w:rPr>
                <w:sz w:val="24"/>
                <w:szCs w:val="24"/>
              </w:rPr>
            </w:pPr>
            <w:r>
              <w:rPr>
                <w:sz w:val="24"/>
                <w:szCs w:val="24"/>
              </w:rPr>
              <w:t>Result suggests many transnational cases (14) reported had not involved the use of any transnational cooperation mechanisms. DPAs conducted investigations and imposed enforcement measures in cases with transnational implications, without seeking the assistance of authorities in other jurisdictions or without initiating cross-border cooperation.</w:t>
            </w:r>
          </w:p>
          <w:p w14:paraId="1D824BDF" w14:textId="77777777" w:rsidR="00A42B52" w:rsidRDefault="00A42B52" w:rsidP="00A42B52">
            <w:pPr>
              <w:jc w:val="both"/>
              <w:rPr>
                <w:sz w:val="24"/>
                <w:szCs w:val="24"/>
              </w:rPr>
            </w:pPr>
            <w:r>
              <w:rPr>
                <w:sz w:val="24"/>
                <w:szCs w:val="24"/>
              </w:rPr>
              <w:t>Other transnational cooperation mechanism reported included: EU GDPR Cooperation and Consistency mechanism (One-stop-shop), and International relations/ties with the embassy of another country.</w:t>
            </w:r>
          </w:p>
          <w:p w14:paraId="5E3499F6" w14:textId="77777777" w:rsidR="00DD6623" w:rsidRPr="00A42B52" w:rsidRDefault="00DD6623" w:rsidP="00DD6623">
            <w:pPr>
              <w:rPr>
                <w:rFonts w:ascii="Calibri" w:eastAsia="Calibri" w:hAnsi="Calibri" w:cs="Times New Roman"/>
                <w:sz w:val="24"/>
                <w:szCs w:val="24"/>
              </w:rPr>
            </w:pPr>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20"/>
      <w:footerReference w:type="default" r:id="rId21"/>
      <w:headerReference w:type="first" r:id="rId22"/>
      <w:footerReference w:type="first" r:id="rId23"/>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0220" w14:textId="77777777" w:rsidR="0071110D" w:rsidRDefault="0071110D" w:rsidP="00F41B32">
      <w:pPr>
        <w:spacing w:after="0" w:line="240" w:lineRule="auto"/>
      </w:pPr>
      <w:r>
        <w:separator/>
      </w:r>
    </w:p>
  </w:endnote>
  <w:endnote w:type="continuationSeparator" w:id="0">
    <w:p w14:paraId="6F8A0296" w14:textId="77777777" w:rsidR="0071110D" w:rsidRDefault="0071110D" w:rsidP="00F41B32">
      <w:pPr>
        <w:spacing w:after="0" w:line="240" w:lineRule="auto"/>
      </w:pPr>
      <w:r>
        <w:continuationSeparator/>
      </w:r>
    </w:p>
  </w:endnote>
  <w:endnote w:type="continuationNotice" w:id="1">
    <w:p w14:paraId="2C2B0E62" w14:textId="77777777" w:rsidR="0071110D" w:rsidRDefault="00711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35B1" w14:textId="77777777" w:rsidR="0071110D" w:rsidRDefault="0071110D" w:rsidP="00F41B32">
      <w:pPr>
        <w:spacing w:after="0" w:line="240" w:lineRule="auto"/>
      </w:pPr>
      <w:r>
        <w:separator/>
      </w:r>
    </w:p>
  </w:footnote>
  <w:footnote w:type="continuationSeparator" w:id="0">
    <w:p w14:paraId="5ED87FE8" w14:textId="77777777" w:rsidR="0071110D" w:rsidRDefault="0071110D" w:rsidP="00F41B32">
      <w:pPr>
        <w:spacing w:after="0" w:line="240" w:lineRule="auto"/>
      </w:pPr>
      <w:r>
        <w:continuationSeparator/>
      </w:r>
    </w:p>
  </w:footnote>
  <w:footnote w:type="continuationNotice" w:id="1">
    <w:p w14:paraId="1C0F0E3F" w14:textId="77777777" w:rsidR="0071110D" w:rsidRDefault="0071110D">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72811"/>
    <w:multiLevelType w:val="hybridMultilevel"/>
    <w:tmpl w:val="B47CB03E"/>
    <w:lvl w:ilvl="0" w:tplc="AFB441F4">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AB4E22"/>
    <w:multiLevelType w:val="hybridMultilevel"/>
    <w:tmpl w:val="527CD512"/>
    <w:lvl w:ilvl="0" w:tplc="428EA1C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5135AA8"/>
    <w:multiLevelType w:val="hybridMultilevel"/>
    <w:tmpl w:val="32E03388"/>
    <w:lvl w:ilvl="0" w:tplc="BB7859B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0"/>
  </w:num>
  <w:num w:numId="2" w16cid:durableId="1919173016">
    <w:abstractNumId w:val="6"/>
  </w:num>
  <w:num w:numId="3" w16cid:durableId="1738243251">
    <w:abstractNumId w:val="1"/>
  </w:num>
  <w:num w:numId="4" w16cid:durableId="182015408">
    <w:abstractNumId w:val="5"/>
  </w:num>
  <w:num w:numId="5" w16cid:durableId="1141574029">
    <w:abstractNumId w:val="3"/>
  </w:num>
  <w:num w:numId="6" w16cid:durableId="1855028094">
    <w:abstractNumId w:val="2"/>
  </w:num>
  <w:num w:numId="7" w16cid:durableId="308553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081EE2"/>
    <w:rsid w:val="001268C5"/>
    <w:rsid w:val="00150BA3"/>
    <w:rsid w:val="00171841"/>
    <w:rsid w:val="00177F95"/>
    <w:rsid w:val="00193EBC"/>
    <w:rsid w:val="001B1447"/>
    <w:rsid w:val="001B3FE8"/>
    <w:rsid w:val="001D4FC2"/>
    <w:rsid w:val="002021F5"/>
    <w:rsid w:val="00216430"/>
    <w:rsid w:val="00231DD9"/>
    <w:rsid w:val="00235848"/>
    <w:rsid w:val="00250CE1"/>
    <w:rsid w:val="002604F5"/>
    <w:rsid w:val="00281428"/>
    <w:rsid w:val="002D106F"/>
    <w:rsid w:val="002F7D3D"/>
    <w:rsid w:val="00301994"/>
    <w:rsid w:val="00316AE1"/>
    <w:rsid w:val="003403BA"/>
    <w:rsid w:val="00351783"/>
    <w:rsid w:val="003542F8"/>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6F2D70"/>
    <w:rsid w:val="0070032E"/>
    <w:rsid w:val="0071110D"/>
    <w:rsid w:val="0071587F"/>
    <w:rsid w:val="0072573D"/>
    <w:rsid w:val="0073058F"/>
    <w:rsid w:val="007B2B1D"/>
    <w:rsid w:val="007B2B44"/>
    <w:rsid w:val="007B6E8E"/>
    <w:rsid w:val="007D00E1"/>
    <w:rsid w:val="00805A48"/>
    <w:rsid w:val="00806684"/>
    <w:rsid w:val="00816ED0"/>
    <w:rsid w:val="0082165F"/>
    <w:rsid w:val="0082183A"/>
    <w:rsid w:val="00830CDA"/>
    <w:rsid w:val="00863C68"/>
    <w:rsid w:val="0087393B"/>
    <w:rsid w:val="008C77F9"/>
    <w:rsid w:val="008D3516"/>
    <w:rsid w:val="00903E7C"/>
    <w:rsid w:val="0092055B"/>
    <w:rsid w:val="00931E02"/>
    <w:rsid w:val="00A3098B"/>
    <w:rsid w:val="00A30B63"/>
    <w:rsid w:val="00A42A5D"/>
    <w:rsid w:val="00A42B52"/>
    <w:rsid w:val="00A45AD6"/>
    <w:rsid w:val="00A947E7"/>
    <w:rsid w:val="00AC02D8"/>
    <w:rsid w:val="00AF2415"/>
    <w:rsid w:val="00B17318"/>
    <w:rsid w:val="00B541DD"/>
    <w:rsid w:val="00B75191"/>
    <w:rsid w:val="00B831EB"/>
    <w:rsid w:val="00B84D94"/>
    <w:rsid w:val="00BB6A10"/>
    <w:rsid w:val="00BC3495"/>
    <w:rsid w:val="00BD2F98"/>
    <w:rsid w:val="00BF49F3"/>
    <w:rsid w:val="00C27874"/>
    <w:rsid w:val="00C574B1"/>
    <w:rsid w:val="00C64A44"/>
    <w:rsid w:val="00C67697"/>
    <w:rsid w:val="00C91AFF"/>
    <w:rsid w:val="00C933BD"/>
    <w:rsid w:val="00C96C3C"/>
    <w:rsid w:val="00C97DE0"/>
    <w:rsid w:val="00CB0A28"/>
    <w:rsid w:val="00CB241A"/>
    <w:rsid w:val="00CE5C08"/>
    <w:rsid w:val="00CE741E"/>
    <w:rsid w:val="00CF1046"/>
    <w:rsid w:val="00D15EEF"/>
    <w:rsid w:val="00D2147F"/>
    <w:rsid w:val="00D456F2"/>
    <w:rsid w:val="00D60184"/>
    <w:rsid w:val="00D67BB7"/>
    <w:rsid w:val="00D81921"/>
    <w:rsid w:val="00D97CA0"/>
    <w:rsid w:val="00DA600F"/>
    <w:rsid w:val="00DC58A3"/>
    <w:rsid w:val="00DC6E06"/>
    <w:rsid w:val="00DD6623"/>
    <w:rsid w:val="00DE2947"/>
    <w:rsid w:val="00DE7A0D"/>
    <w:rsid w:val="00DF40FC"/>
    <w:rsid w:val="00E02E87"/>
    <w:rsid w:val="00E43076"/>
    <w:rsid w:val="00E57180"/>
    <w:rsid w:val="00E90C6C"/>
    <w:rsid w:val="00E933E6"/>
    <w:rsid w:val="00F15AC0"/>
    <w:rsid w:val="00F41B32"/>
    <w:rsid w:val="00F83EFA"/>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C93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907957013">
      <w:bodyDiv w:val="1"/>
      <w:marLeft w:val="0"/>
      <w:marRight w:val="0"/>
      <w:marTop w:val="0"/>
      <w:marBottom w:val="0"/>
      <w:divBdr>
        <w:top w:val="none" w:sz="0" w:space="0" w:color="auto"/>
        <w:left w:val="none" w:sz="0" w:space="0" w:color="auto"/>
        <w:bottom w:val="none" w:sz="0" w:space="0" w:color="auto"/>
        <w:right w:val="none" w:sz="0" w:space="0" w:color="auto"/>
      </w:divBdr>
      <w:divsChild>
        <w:div w:id="4403074">
          <w:marLeft w:val="0"/>
          <w:marRight w:val="0"/>
          <w:marTop w:val="0"/>
          <w:marBottom w:val="0"/>
          <w:divBdr>
            <w:top w:val="none" w:sz="0" w:space="0" w:color="auto"/>
            <w:left w:val="none" w:sz="0" w:space="0" w:color="auto"/>
            <w:bottom w:val="none" w:sz="0" w:space="0" w:color="auto"/>
            <w:right w:val="none" w:sz="0" w:space="0" w:color="auto"/>
          </w:divBdr>
        </w:div>
      </w:divsChild>
    </w:div>
    <w:div w:id="952663882">
      <w:bodyDiv w:val="1"/>
      <w:marLeft w:val="0"/>
      <w:marRight w:val="0"/>
      <w:marTop w:val="0"/>
      <w:marBottom w:val="0"/>
      <w:divBdr>
        <w:top w:val="none" w:sz="0" w:space="0" w:color="auto"/>
        <w:left w:val="none" w:sz="0" w:space="0" w:color="auto"/>
        <w:bottom w:val="none" w:sz="0" w:space="0" w:color="auto"/>
        <w:right w:val="none" w:sz="0" w:space="0" w:color="auto"/>
      </w:divBdr>
    </w:div>
    <w:div w:id="1001741446">
      <w:bodyDiv w:val="1"/>
      <w:marLeft w:val="0"/>
      <w:marRight w:val="0"/>
      <w:marTop w:val="0"/>
      <w:marBottom w:val="0"/>
      <w:divBdr>
        <w:top w:val="none" w:sz="0" w:space="0" w:color="auto"/>
        <w:left w:val="none" w:sz="0" w:space="0" w:color="auto"/>
        <w:bottom w:val="none" w:sz="0" w:space="0" w:color="auto"/>
        <w:right w:val="none" w:sz="0" w:space="0" w:color="auto"/>
      </w:divBdr>
    </w:div>
    <w:div w:id="1090152692">
      <w:bodyDiv w:val="1"/>
      <w:marLeft w:val="0"/>
      <w:marRight w:val="0"/>
      <w:marTop w:val="0"/>
      <w:marBottom w:val="0"/>
      <w:divBdr>
        <w:top w:val="none" w:sz="0" w:space="0" w:color="auto"/>
        <w:left w:val="none" w:sz="0" w:space="0" w:color="auto"/>
        <w:bottom w:val="none" w:sz="0" w:space="0" w:color="auto"/>
        <w:right w:val="none" w:sz="0" w:space="0" w:color="auto"/>
      </w:divBdr>
    </w:div>
    <w:div w:id="1317420717">
      <w:bodyDiv w:val="1"/>
      <w:marLeft w:val="0"/>
      <w:marRight w:val="0"/>
      <w:marTop w:val="0"/>
      <w:marBottom w:val="0"/>
      <w:divBdr>
        <w:top w:val="none" w:sz="0" w:space="0" w:color="auto"/>
        <w:left w:val="none" w:sz="0" w:space="0" w:color="auto"/>
        <w:bottom w:val="none" w:sz="0" w:space="0" w:color="auto"/>
        <w:right w:val="none" w:sz="0" w:space="0" w:color="auto"/>
      </w:divBdr>
    </w:div>
    <w:div w:id="1690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garita@sic.gov.co" TargetMode="External"/><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londono@sic.gov.co"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powerbi.com/view?r=eyJrIjoiZDI5Y2YyNmItNGQ4MS00NjRiLWE3MmYtM2RmYzgyYjhlMDU4IiwidCI6Ijk0NzhlZWMyLThkZjctNDk0OC04MGQzLTc0MGExNmUxZGNjYSJ9&amp;pageName=ReportSec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pcpd-my.sharepoint.com/personal/gl_chan_pcpd_org_hk/Documents/IEWG%20Transnational%20Case%20Map%202022_4%20Ma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cpd-my.sharepoint.com/personal/gl_chan_pcpd_org_hk/Documents/IEWG%20Transnational%20Case%20Map%202022_4%20Ma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pcpd-my.sharepoint.com/personal/gl_chan_pcpd_org_hk/Documents/IEWG%20Transnational%20Case%20Map%202022_4%20Ma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pcpd-my.sharepoint.com/personal/gl_chan_pcpd_org_hk/Documents/IEWG%20Transnational%20Case%20Map%202022_4%20Ma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HK"/>
              <a:t>Q.5 Type of</a:t>
            </a:r>
            <a:r>
              <a:rPr lang="en-HK" baseline="0"/>
              <a:t> institution (non-exclusive)</a:t>
            </a:r>
            <a:endParaRPr lang="en-H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Tally!$B$27:$B$34</c:f>
              <c:strCache>
                <c:ptCount val="8"/>
                <c:pt idx="0">
                  <c:v>A. Public authorities</c:v>
                </c:pt>
                <c:pt idx="1">
                  <c:v>B. Small and medium enterprises</c:v>
                </c:pt>
                <c:pt idx="2">
                  <c:v>C. Utility companies</c:v>
                </c:pt>
                <c:pt idx="3">
                  <c:v>D. Online platforms</c:v>
                </c:pt>
                <c:pt idx="4">
                  <c:v>E. Hospitality establishments</c:v>
                </c:pt>
                <c:pt idx="5">
                  <c:v>F. Education</c:v>
                </c:pt>
                <c:pt idx="6">
                  <c:v>G. Big enterpises</c:v>
                </c:pt>
                <c:pt idx="7">
                  <c:v>H. Others</c:v>
                </c:pt>
              </c:strCache>
            </c:strRef>
          </c:cat>
          <c:val>
            <c:numRef>
              <c:f>Tally!$C$27:$C$34</c:f>
              <c:numCache>
                <c:formatCode>General</c:formatCode>
                <c:ptCount val="8"/>
                <c:pt idx="0">
                  <c:v>2</c:v>
                </c:pt>
                <c:pt idx="1">
                  <c:v>2</c:v>
                </c:pt>
                <c:pt idx="2">
                  <c:v>0</c:v>
                </c:pt>
                <c:pt idx="3">
                  <c:v>14</c:v>
                </c:pt>
                <c:pt idx="4">
                  <c:v>1</c:v>
                </c:pt>
                <c:pt idx="5">
                  <c:v>1</c:v>
                </c:pt>
                <c:pt idx="6">
                  <c:v>11</c:v>
                </c:pt>
                <c:pt idx="7">
                  <c:v>6</c:v>
                </c:pt>
              </c:numCache>
            </c:numRef>
          </c:val>
          <c:extLst>
            <c:ext xmlns:c16="http://schemas.microsoft.com/office/drawing/2014/chart" uri="{C3380CC4-5D6E-409C-BE32-E72D297353CC}">
              <c16:uniqueId val="{00000000-6251-B348-92E1-2FEF128E3468}"/>
            </c:ext>
          </c:extLst>
        </c:ser>
        <c:dLbls>
          <c:showLegendKey val="0"/>
          <c:showVal val="0"/>
          <c:showCatName val="0"/>
          <c:showSerName val="0"/>
          <c:showPercent val="0"/>
          <c:showBubbleSize val="0"/>
        </c:dLbls>
        <c:gapWidth val="182"/>
        <c:axId val="881980624"/>
        <c:axId val="1070192608"/>
      </c:barChart>
      <c:catAx>
        <c:axId val="88198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0192608"/>
        <c:crosses val="autoZero"/>
        <c:auto val="1"/>
        <c:lblAlgn val="ctr"/>
        <c:lblOffset val="100"/>
        <c:noMultiLvlLbl val="0"/>
      </c:catAx>
      <c:valAx>
        <c:axId val="107019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81980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HK"/>
              <a:t>Q7. Enforcement</a:t>
            </a:r>
            <a:r>
              <a:rPr lang="en-HK" baseline="0"/>
              <a:t> measure(s) imposed</a:t>
            </a:r>
            <a:endParaRPr lang="en-HK"/>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Tally!$D$27:$D$31</c:f>
              <c:strCache>
                <c:ptCount val="4"/>
                <c:pt idx="0">
                  <c:v>A. Monetary penalty</c:v>
                </c:pt>
                <c:pt idx="1">
                  <c:v>B. Recommendations</c:v>
                </c:pt>
                <c:pt idx="2">
                  <c:v>C. Orders</c:v>
                </c:pt>
                <c:pt idx="3">
                  <c:v>D. Reprimand</c:v>
                </c:pt>
              </c:strCache>
              <c:extLst/>
            </c:strRef>
          </c:cat>
          <c:val>
            <c:numRef>
              <c:f>Tally!$E$27:$E$31</c:f>
              <c:numCache>
                <c:formatCode>General</c:formatCode>
                <c:ptCount val="4"/>
                <c:pt idx="0">
                  <c:v>7</c:v>
                </c:pt>
                <c:pt idx="1">
                  <c:v>4</c:v>
                </c:pt>
                <c:pt idx="2">
                  <c:v>15</c:v>
                </c:pt>
                <c:pt idx="3">
                  <c:v>1</c:v>
                </c:pt>
              </c:numCache>
              <c:extLst/>
            </c:numRef>
          </c:val>
          <c:extLst>
            <c:ext xmlns:c16="http://schemas.microsoft.com/office/drawing/2014/chart" uri="{C3380CC4-5D6E-409C-BE32-E72D297353CC}">
              <c16:uniqueId val="{00000000-2DF2-C942-9240-81094573B598}"/>
            </c:ext>
          </c:extLst>
        </c:ser>
        <c:dLbls>
          <c:showLegendKey val="0"/>
          <c:showVal val="0"/>
          <c:showCatName val="0"/>
          <c:showSerName val="0"/>
          <c:showPercent val="0"/>
          <c:showBubbleSize val="0"/>
        </c:dLbls>
        <c:gapWidth val="219"/>
        <c:overlap val="-27"/>
        <c:axId val="578678320"/>
        <c:axId val="1070195104"/>
      </c:barChart>
      <c:catAx>
        <c:axId val="57867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70195104"/>
        <c:crosses val="autoZero"/>
        <c:auto val="1"/>
        <c:lblAlgn val="ctr"/>
        <c:lblOffset val="100"/>
        <c:noMultiLvlLbl val="0"/>
      </c:catAx>
      <c:valAx>
        <c:axId val="1070195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8678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HK"/>
              <a:t>Q8.</a:t>
            </a:r>
            <a:r>
              <a:rPr lang="en-HK" baseline="0"/>
              <a:t> Transnational implication(s)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6.1025371828521434E-2"/>
          <c:y val="0.17627442403032953"/>
          <c:w val="0.90286351706036749"/>
          <c:h val="0.4018649752114318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Tally!$F$27:$F$32</c:f>
              <c:strCache>
                <c:ptCount val="5"/>
                <c:pt idx="0">
                  <c:v>A. The data controller/processor operated in more than one jurisdiction</c:v>
                </c:pt>
                <c:pt idx="1">
                  <c:v>B. Data subjects of other jurisdiction(s) were affected</c:v>
                </c:pt>
                <c:pt idx="2">
                  <c:v>C. There was cross-border data transfer</c:v>
                </c:pt>
                <c:pt idx="3">
                  <c:v>D. The assistance of the DPA of another jurisdiction was required or sought</c:v>
                </c:pt>
                <c:pt idx="4">
                  <c:v>E. There was extra-territorial application of the domestic data protection law</c:v>
                </c:pt>
              </c:strCache>
              <c:extLst/>
            </c:strRef>
          </c:cat>
          <c:val>
            <c:numRef>
              <c:f>Tally!$G$27:$G$32</c:f>
              <c:numCache>
                <c:formatCode>General</c:formatCode>
                <c:ptCount val="5"/>
                <c:pt idx="0">
                  <c:v>14</c:v>
                </c:pt>
                <c:pt idx="1">
                  <c:v>13</c:v>
                </c:pt>
                <c:pt idx="2">
                  <c:v>6</c:v>
                </c:pt>
                <c:pt idx="3">
                  <c:v>4</c:v>
                </c:pt>
                <c:pt idx="4">
                  <c:v>12</c:v>
                </c:pt>
              </c:numCache>
              <c:extLst/>
            </c:numRef>
          </c:val>
          <c:extLst>
            <c:ext xmlns:c16="http://schemas.microsoft.com/office/drawing/2014/chart" uri="{C3380CC4-5D6E-409C-BE32-E72D297353CC}">
              <c16:uniqueId val="{00000000-5C92-F745-9DFB-A513A9372A1F}"/>
            </c:ext>
          </c:extLst>
        </c:ser>
        <c:dLbls>
          <c:showLegendKey val="0"/>
          <c:showVal val="0"/>
          <c:showCatName val="0"/>
          <c:showSerName val="0"/>
          <c:showPercent val="0"/>
          <c:showBubbleSize val="0"/>
        </c:dLbls>
        <c:gapWidth val="219"/>
        <c:overlap val="-27"/>
        <c:axId val="578681920"/>
        <c:axId val="875566832"/>
      </c:barChart>
      <c:catAx>
        <c:axId val="57868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875566832"/>
        <c:crosses val="autoZero"/>
        <c:auto val="1"/>
        <c:lblAlgn val="ctr"/>
        <c:lblOffset val="100"/>
        <c:noMultiLvlLbl val="0"/>
      </c:catAx>
      <c:valAx>
        <c:axId val="875566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786819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HK"/>
              <a:t>Q10. Transnational cooperation mechanism used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Tally!$H$27:$H$33</c:f>
              <c:strCache>
                <c:ptCount val="7"/>
                <c:pt idx="0">
                  <c:v>A. The GPA Enforcement Cooperation Handbook</c:v>
                </c:pt>
                <c:pt idx="1">
                  <c:v>B. The GPA Global Cross Border Enforcement Cooperation Arrangement</c:v>
                </c:pt>
                <c:pt idx="2">
                  <c:v>C. APEC Cross-border Privacy Enforcement Arrangement (CPEA)</c:v>
                </c:pt>
                <c:pt idx="3">
                  <c:v>D. Memorandum of understanding</c:v>
                </c:pt>
                <c:pt idx="4">
                  <c:v>E. Other bilateral arrangements</c:v>
                </c:pt>
                <c:pt idx="5">
                  <c:v>F. Not applicable</c:v>
                </c:pt>
                <c:pt idx="6">
                  <c:v>G. Others</c:v>
                </c:pt>
              </c:strCache>
            </c:strRef>
          </c:cat>
          <c:val>
            <c:numRef>
              <c:f>Tally!$I$27:$I$33</c:f>
              <c:numCache>
                <c:formatCode>General</c:formatCode>
                <c:ptCount val="7"/>
                <c:pt idx="0">
                  <c:v>1</c:v>
                </c:pt>
                <c:pt idx="1">
                  <c:v>2</c:v>
                </c:pt>
                <c:pt idx="2">
                  <c:v>2</c:v>
                </c:pt>
                <c:pt idx="3">
                  <c:v>2</c:v>
                </c:pt>
                <c:pt idx="4">
                  <c:v>2</c:v>
                </c:pt>
                <c:pt idx="5">
                  <c:v>14</c:v>
                </c:pt>
                <c:pt idx="6">
                  <c:v>5</c:v>
                </c:pt>
              </c:numCache>
            </c:numRef>
          </c:val>
          <c:extLst>
            <c:ext xmlns:c16="http://schemas.microsoft.com/office/drawing/2014/chart" uri="{C3380CC4-5D6E-409C-BE32-E72D297353CC}">
              <c16:uniqueId val="{00000000-4B56-B343-A723-9EE2E40A7EA5}"/>
            </c:ext>
          </c:extLst>
        </c:ser>
        <c:dLbls>
          <c:showLegendKey val="0"/>
          <c:showVal val="0"/>
          <c:showCatName val="0"/>
          <c:showSerName val="0"/>
          <c:showPercent val="0"/>
          <c:showBubbleSize val="0"/>
        </c:dLbls>
        <c:gapWidth val="219"/>
        <c:overlap val="-27"/>
        <c:axId val="1090019168"/>
        <c:axId val="875576400"/>
      </c:barChart>
      <c:catAx>
        <c:axId val="109001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75576400"/>
        <c:crosses val="autoZero"/>
        <c:auto val="1"/>
        <c:lblAlgn val="ctr"/>
        <c:lblOffset val="100"/>
        <c:noMultiLvlLbl val="0"/>
      </c:catAx>
      <c:valAx>
        <c:axId val="87557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0900191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4.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7595</Characters>
  <Application>Microsoft Office Word</Application>
  <DocSecurity>0</DocSecurity>
  <Lines>63</Lines>
  <Paragraphs>17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Mexico INAI</cp:lastModifiedBy>
  <cp:revision>2</cp:revision>
  <dcterms:created xsi:type="dcterms:W3CDTF">2022-07-05T00:26:00Z</dcterms:created>
  <dcterms:modified xsi:type="dcterms:W3CDTF">2022-07-05T00:26:00Z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