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085D4455" w:rsidR="00DD6623" w:rsidRPr="00DD6623" w:rsidRDefault="00EC42EF" w:rsidP="00DD6623">
            <w:pPr>
              <w:rPr>
                <w:rFonts w:ascii="Calibri" w:eastAsia="Calibri" w:hAnsi="Calibri" w:cs="Times New Roman"/>
                <w:sz w:val="24"/>
                <w:szCs w:val="24"/>
              </w:rPr>
            </w:pPr>
            <w:r>
              <w:rPr>
                <w:rFonts w:ascii="Calibri" w:eastAsia="Calibri" w:hAnsi="Calibri" w:cs="Times New Roman"/>
                <w:sz w:val="24"/>
                <w:szCs w:val="24"/>
              </w:rPr>
              <w:t>Information Commissioner’s Office</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7D3919F0" w:rsidR="00DD6623" w:rsidRPr="00DD6623" w:rsidRDefault="00EC42EF" w:rsidP="00DD6623">
            <w:pPr>
              <w:rPr>
                <w:rFonts w:ascii="Calibri" w:eastAsia="Calibri" w:hAnsi="Calibri" w:cs="Times New Roman"/>
                <w:sz w:val="24"/>
                <w:szCs w:val="24"/>
              </w:rPr>
            </w:pPr>
            <w:r>
              <w:rPr>
                <w:rFonts w:ascii="Calibri" w:eastAsia="Calibri" w:hAnsi="Calibri" w:cs="Times New Roman"/>
                <w:sz w:val="24"/>
                <w:szCs w:val="24"/>
              </w:rPr>
              <w:t>Sophia</w:t>
            </w:r>
          </w:p>
        </w:tc>
        <w:tc>
          <w:tcPr>
            <w:tcW w:w="3006" w:type="dxa"/>
            <w:tcBorders>
              <w:left w:val="nil"/>
              <w:bottom w:val="single" w:sz="4" w:space="0" w:color="auto"/>
              <w:right w:val="nil"/>
            </w:tcBorders>
          </w:tcPr>
          <w:p w14:paraId="1270AD7E" w14:textId="6D792F69" w:rsidR="00DD6623" w:rsidRPr="00DD6623" w:rsidRDefault="00EC42EF" w:rsidP="00DD6623">
            <w:pPr>
              <w:rPr>
                <w:rFonts w:ascii="Calibri" w:eastAsia="Calibri" w:hAnsi="Calibri" w:cs="Times New Roman"/>
                <w:sz w:val="24"/>
                <w:szCs w:val="24"/>
              </w:rPr>
            </w:pPr>
            <w:proofErr w:type="spellStart"/>
            <w:r>
              <w:rPr>
                <w:rFonts w:ascii="Calibri" w:eastAsia="Calibri" w:hAnsi="Calibri" w:cs="Times New Roman"/>
                <w:sz w:val="24"/>
                <w:szCs w:val="24"/>
              </w:rPr>
              <w:t>Ignatidou</w:t>
            </w:r>
            <w:proofErr w:type="spellEnd"/>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6EC92CCE" w:rsidR="0082183A" w:rsidRPr="00DD6623" w:rsidRDefault="00EC42EF" w:rsidP="00DD6623">
            <w:pPr>
              <w:rPr>
                <w:rFonts w:ascii="Calibri" w:eastAsia="Calibri" w:hAnsi="Calibri" w:cs="Times New Roman"/>
                <w:sz w:val="24"/>
                <w:szCs w:val="24"/>
              </w:rPr>
            </w:pPr>
            <w:r>
              <w:rPr>
                <w:rFonts w:ascii="Calibri" w:eastAsia="Calibri" w:hAnsi="Calibri" w:cs="Times New Roman"/>
                <w:sz w:val="24"/>
                <w:szCs w:val="24"/>
              </w:rPr>
              <w:t>Group Manager for Technology Policy</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59D17B74" w14:textId="77777777" w:rsidR="00DD6623" w:rsidRDefault="00704EE4" w:rsidP="00DD6623">
            <w:pPr>
              <w:rPr>
                <w:rFonts w:ascii="Calibri" w:eastAsia="Calibri" w:hAnsi="Calibri" w:cs="Times New Roman"/>
                <w:sz w:val="24"/>
                <w:szCs w:val="24"/>
              </w:rPr>
            </w:pPr>
            <w:hyperlink r:id="rId12" w:history="1">
              <w:r w:rsidR="004D682C" w:rsidRPr="00347456">
                <w:rPr>
                  <w:rStyle w:val="Hipervnculo"/>
                  <w:rFonts w:ascii="Calibri" w:eastAsia="Calibri" w:hAnsi="Calibri" w:cs="Times New Roman"/>
                  <w:sz w:val="24"/>
                  <w:szCs w:val="24"/>
                </w:rPr>
                <w:t>sophia.ignatidou@ico.org.uk</w:t>
              </w:r>
            </w:hyperlink>
            <w:r w:rsidR="004D682C">
              <w:rPr>
                <w:rFonts w:ascii="Calibri" w:eastAsia="Calibri" w:hAnsi="Calibri" w:cs="Times New Roman"/>
                <w:sz w:val="24"/>
                <w:szCs w:val="24"/>
              </w:rPr>
              <w:t xml:space="preserve"> </w:t>
            </w:r>
          </w:p>
          <w:p w14:paraId="1390626E" w14:textId="58908C27" w:rsidR="004D682C" w:rsidRPr="00DD6623" w:rsidRDefault="00704EE4" w:rsidP="00DD6623">
            <w:pPr>
              <w:rPr>
                <w:rFonts w:ascii="Calibri" w:eastAsia="Calibri" w:hAnsi="Calibri" w:cs="Times New Roman"/>
                <w:sz w:val="24"/>
                <w:szCs w:val="24"/>
              </w:rPr>
            </w:pPr>
            <w:hyperlink r:id="rId13" w:history="1">
              <w:r w:rsidR="004D682C">
                <w:rPr>
                  <w:rStyle w:val="Hipervnculo"/>
                  <w:rFonts w:ascii="Verdana" w:hAnsi="Verdana"/>
                  <w:sz w:val="24"/>
                  <w:szCs w:val="24"/>
                </w:rPr>
                <w:t>gpa@ico.org.uk</w:t>
              </w:r>
            </w:hyperlink>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5FD71358" w:rsidR="00DD6623" w:rsidRPr="00DD6623" w:rsidRDefault="00571EC7"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533791E6" w:rsidR="00DD6623" w:rsidRPr="00DD6623" w:rsidRDefault="00991E08"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1027F607" w:rsidR="00DD6623" w:rsidRPr="00DD6623" w:rsidRDefault="00991E08"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0EA7DA18" w14:textId="50F0AF36" w:rsidR="00DD6623" w:rsidRPr="00DD6623" w:rsidRDefault="003F328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11C17AB3" w:rsidR="00DD6623" w:rsidRPr="00DD6623" w:rsidRDefault="003F328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D5AC19D" w:rsidR="00DD6623" w:rsidRPr="00DD6623" w:rsidRDefault="00212E8B"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49399BB9" w14:textId="226163C7" w:rsidR="00DD6623" w:rsidRPr="00DD6623" w:rsidRDefault="004D382B" w:rsidP="00DD6623">
            <w:pPr>
              <w:rPr>
                <w:rFonts w:ascii="Calibri" w:eastAsia="Calibri" w:hAnsi="Calibri" w:cs="Times New Roman"/>
                <w:sz w:val="24"/>
                <w:szCs w:val="24"/>
              </w:rPr>
            </w:pPr>
            <w:r w:rsidRPr="004D382B">
              <w:rPr>
                <w:rFonts w:ascii="Calibri" w:eastAsia="Calibri" w:hAnsi="Calibri" w:cs="Times New Roman"/>
                <w:sz w:val="24"/>
                <w:szCs w:val="24"/>
              </w:rPr>
              <w:t>The Information Commissioner’s Office (ICO) and the Competition and Markets Authority (CMA) published the joint statement in May 2021, setting out their shared views on the relationship between competition and data protection in the digital economy. The statement from the UK regulators for competition and data protection – the first of its kind globally – highlights the strong overlap between promoting and protecting competition in digital markets and safeguarding people’s data.</w:t>
            </w: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77777777" w:rsidR="00DD6623" w:rsidRPr="00DD6623" w:rsidRDefault="00DD6623" w:rsidP="00DD6623">
            <w:pPr>
              <w:rPr>
                <w:rFonts w:ascii="Calibri" w:eastAsia="Calibri" w:hAnsi="Calibri" w:cs="Times New Roman"/>
                <w:sz w:val="24"/>
                <w:szCs w:val="24"/>
              </w:rPr>
            </w:pPr>
          </w:p>
          <w:p w14:paraId="6358C97B" w14:textId="77777777" w:rsidR="00E85BC3" w:rsidRPr="000C4E4D" w:rsidRDefault="00E85BC3" w:rsidP="00E85BC3">
            <w:pPr>
              <w:rPr>
                <w:sz w:val="24"/>
                <w:szCs w:val="24"/>
              </w:rPr>
            </w:pPr>
            <w:r w:rsidRPr="000C4E4D">
              <w:rPr>
                <w:sz w:val="24"/>
                <w:szCs w:val="24"/>
              </w:rPr>
              <w:t xml:space="preserve">The CMA-ICO joint statement set out the strong synergies between the interests of data protection and competition, that had been demonstrated by the close working relationship the two regulators had developed in the last couple of years. The paper explained how the </w:t>
            </w:r>
            <w:proofErr w:type="gramStart"/>
            <w:r w:rsidRPr="000C4E4D">
              <w:rPr>
                <w:sz w:val="24"/>
                <w:szCs w:val="24"/>
              </w:rPr>
              <w:t>ICO</w:t>
            </w:r>
            <w:proofErr w:type="gramEnd"/>
            <w:r w:rsidRPr="000C4E4D">
              <w:rPr>
                <w:sz w:val="24"/>
                <w:szCs w:val="24"/>
              </w:rPr>
              <w:t xml:space="preserve"> and the CMA would enhance the synergies between the two UK regulators’ policy agendas, as well as how they would seek to identify and address any potential for tensions. </w:t>
            </w:r>
          </w:p>
          <w:p w14:paraId="60365C5B" w14:textId="77777777" w:rsidR="00E85BC3" w:rsidRPr="000C4E4D" w:rsidRDefault="00E85BC3" w:rsidP="00E85BC3">
            <w:pPr>
              <w:rPr>
                <w:sz w:val="24"/>
                <w:szCs w:val="24"/>
              </w:rPr>
            </w:pPr>
          </w:p>
          <w:p w14:paraId="208205BF" w14:textId="77777777" w:rsidR="00E85BC3" w:rsidRPr="000C4E4D" w:rsidRDefault="00E85BC3" w:rsidP="00E85BC3">
            <w:pPr>
              <w:rPr>
                <w:sz w:val="24"/>
                <w:szCs w:val="24"/>
              </w:rPr>
            </w:pPr>
            <w:r w:rsidRPr="000C4E4D">
              <w:rPr>
                <w:sz w:val="24"/>
                <w:szCs w:val="24"/>
              </w:rPr>
              <w:t xml:space="preserve">At a high level the statement articulated: </w:t>
            </w:r>
          </w:p>
          <w:p w14:paraId="37233F70" w14:textId="77777777" w:rsidR="00E85BC3" w:rsidRPr="000C4E4D" w:rsidRDefault="00E85BC3" w:rsidP="00E85BC3">
            <w:pPr>
              <w:rPr>
                <w:sz w:val="24"/>
                <w:szCs w:val="24"/>
              </w:rPr>
            </w:pPr>
          </w:p>
          <w:p w14:paraId="5E45775D" w14:textId="77777777" w:rsidR="00E85BC3" w:rsidRPr="000C4E4D" w:rsidRDefault="00E85BC3" w:rsidP="00E85BC3">
            <w:pPr>
              <w:rPr>
                <w:sz w:val="24"/>
                <w:szCs w:val="24"/>
              </w:rPr>
            </w:pPr>
            <w:r w:rsidRPr="000C4E4D">
              <w:rPr>
                <w:sz w:val="24"/>
                <w:szCs w:val="24"/>
              </w:rPr>
              <w:t xml:space="preserve">• the interactions between competition and data protection in the digital economy, highlighting the synergies and potential tensions between these policy </w:t>
            </w:r>
            <w:proofErr w:type="gramStart"/>
            <w:r w:rsidRPr="000C4E4D">
              <w:rPr>
                <w:sz w:val="24"/>
                <w:szCs w:val="24"/>
              </w:rPr>
              <w:t>areas;</w:t>
            </w:r>
            <w:proofErr w:type="gramEnd"/>
            <w:r w:rsidRPr="000C4E4D">
              <w:rPr>
                <w:sz w:val="24"/>
                <w:szCs w:val="24"/>
              </w:rPr>
              <w:t xml:space="preserve"> </w:t>
            </w:r>
          </w:p>
          <w:p w14:paraId="2A011629" w14:textId="77777777" w:rsidR="00E85BC3" w:rsidRPr="000C4E4D" w:rsidRDefault="00E85BC3" w:rsidP="00E85BC3">
            <w:pPr>
              <w:rPr>
                <w:sz w:val="24"/>
                <w:szCs w:val="24"/>
              </w:rPr>
            </w:pPr>
          </w:p>
          <w:p w14:paraId="06BBE18A" w14:textId="0335306B" w:rsidR="00E85BC3" w:rsidRPr="000C4E4D" w:rsidRDefault="00E85BC3" w:rsidP="00E85BC3">
            <w:pPr>
              <w:rPr>
                <w:sz w:val="24"/>
                <w:szCs w:val="24"/>
              </w:rPr>
            </w:pPr>
            <w:r w:rsidRPr="000C4E4D">
              <w:rPr>
                <w:sz w:val="24"/>
                <w:szCs w:val="24"/>
              </w:rPr>
              <w:t xml:space="preserve">• how the ICO and the CMA were working together to maximise regulatory coherence, illustrated by two projects they had launched (two investigations into the </w:t>
            </w:r>
            <w:proofErr w:type="spellStart"/>
            <w:r w:rsidRPr="000C4E4D">
              <w:rPr>
                <w:sz w:val="24"/>
                <w:szCs w:val="24"/>
              </w:rPr>
              <w:t>adtech</w:t>
            </w:r>
            <w:proofErr w:type="spellEnd"/>
            <w:r w:rsidRPr="000C4E4D">
              <w:rPr>
                <w:sz w:val="24"/>
                <w:szCs w:val="24"/>
              </w:rPr>
              <w:t xml:space="preserve"> industry and Google’s Privacy Sandbox) concerning the use of personal data in digital advertising; and</w:t>
            </w:r>
          </w:p>
          <w:p w14:paraId="70C818E9" w14:textId="77777777" w:rsidR="00E85BC3" w:rsidRPr="000C4E4D" w:rsidRDefault="00E85BC3" w:rsidP="00E85BC3">
            <w:pPr>
              <w:rPr>
                <w:sz w:val="24"/>
                <w:szCs w:val="24"/>
              </w:rPr>
            </w:pPr>
          </w:p>
          <w:p w14:paraId="4770A22C" w14:textId="77777777" w:rsidR="00E85BC3" w:rsidRPr="000C4E4D" w:rsidRDefault="00E85BC3" w:rsidP="00E85BC3">
            <w:pPr>
              <w:rPr>
                <w:sz w:val="24"/>
                <w:szCs w:val="24"/>
              </w:rPr>
            </w:pPr>
            <w:r w:rsidRPr="000C4E4D">
              <w:rPr>
                <w:sz w:val="24"/>
                <w:szCs w:val="24"/>
              </w:rPr>
              <w:t xml:space="preserve"> • the next steps they would take together, including through the Digital Regulation Cooperation Forum, to understand and promote outcomes in the digital economy that simultaneously promote competition and enhance data protection and privacy rights.</w:t>
            </w:r>
          </w:p>
          <w:p w14:paraId="470A51D1" w14:textId="77777777" w:rsidR="00E85BC3" w:rsidRPr="000C4E4D" w:rsidRDefault="00E85BC3" w:rsidP="00E85BC3">
            <w:pPr>
              <w:rPr>
                <w:sz w:val="24"/>
                <w:szCs w:val="24"/>
              </w:rPr>
            </w:pPr>
          </w:p>
          <w:p w14:paraId="71F1A4FA" w14:textId="24352BAC" w:rsidR="00E85BC3" w:rsidRPr="000C4E4D" w:rsidRDefault="00E85BC3" w:rsidP="00E85BC3">
            <w:pPr>
              <w:rPr>
                <w:sz w:val="24"/>
                <w:szCs w:val="24"/>
              </w:rPr>
            </w:pPr>
            <w:r w:rsidRPr="000C4E4D">
              <w:rPr>
                <w:sz w:val="24"/>
                <w:szCs w:val="24"/>
              </w:rPr>
              <w:t xml:space="preserve">It concluded that: </w:t>
            </w:r>
          </w:p>
          <w:p w14:paraId="26D93B81" w14:textId="77777777" w:rsidR="003804F0" w:rsidRPr="000C4E4D" w:rsidRDefault="003804F0" w:rsidP="00E85BC3">
            <w:pPr>
              <w:rPr>
                <w:sz w:val="24"/>
                <w:szCs w:val="24"/>
              </w:rPr>
            </w:pPr>
          </w:p>
          <w:p w14:paraId="5E52F3CB" w14:textId="77777777" w:rsidR="00E85BC3" w:rsidRPr="000C4E4D" w:rsidRDefault="00E85BC3" w:rsidP="00E85BC3">
            <w:pPr>
              <w:pStyle w:val="Prrafodelista"/>
              <w:numPr>
                <w:ilvl w:val="0"/>
                <w:numId w:val="5"/>
              </w:numPr>
              <w:rPr>
                <w:sz w:val="24"/>
                <w:szCs w:val="24"/>
              </w:rPr>
            </w:pPr>
            <w:r w:rsidRPr="000C4E4D">
              <w:rPr>
                <w:sz w:val="24"/>
                <w:szCs w:val="24"/>
              </w:rPr>
              <w:t xml:space="preserve">More competitive markets will deliver the outcomes that consumers care about most, which increasingly includes enhanced privacy and greater control over personal data. </w:t>
            </w:r>
          </w:p>
          <w:p w14:paraId="2F5F9F05" w14:textId="77777777" w:rsidR="00E85BC3" w:rsidRPr="000C4E4D" w:rsidRDefault="00E85BC3" w:rsidP="00E85BC3">
            <w:pPr>
              <w:pStyle w:val="Prrafodelista"/>
              <w:rPr>
                <w:sz w:val="24"/>
                <w:szCs w:val="24"/>
              </w:rPr>
            </w:pPr>
          </w:p>
          <w:p w14:paraId="0264485B" w14:textId="77777777" w:rsidR="00E85BC3" w:rsidRPr="000C4E4D" w:rsidRDefault="00E85BC3" w:rsidP="00E85BC3">
            <w:pPr>
              <w:pStyle w:val="Prrafodelista"/>
              <w:numPr>
                <w:ilvl w:val="0"/>
                <w:numId w:val="5"/>
              </w:numPr>
              <w:rPr>
                <w:sz w:val="24"/>
                <w:szCs w:val="24"/>
              </w:rPr>
            </w:pPr>
            <w:r w:rsidRPr="000C4E4D">
              <w:rPr>
                <w:sz w:val="24"/>
                <w:szCs w:val="24"/>
              </w:rPr>
              <w:t xml:space="preserve">This relationship is mutually reinforcing. Well-designed regulation and standards that preserve individuals’ privacy and place individuals in control of their personal data can promote positive competitive outcomes. In turn, with appropriate and targeted regulation, competitive pressures can be harnessed to incentivise responsible innovations that protect and support users. </w:t>
            </w:r>
          </w:p>
          <w:p w14:paraId="5C386DC0" w14:textId="77777777" w:rsidR="00E85BC3" w:rsidRPr="000C4E4D" w:rsidRDefault="00E85BC3" w:rsidP="00E85BC3">
            <w:pPr>
              <w:rPr>
                <w:sz w:val="24"/>
                <w:szCs w:val="24"/>
              </w:rPr>
            </w:pPr>
          </w:p>
          <w:p w14:paraId="7BD73C69" w14:textId="77777777" w:rsidR="00E85BC3" w:rsidRPr="000C4E4D" w:rsidRDefault="00E85BC3" w:rsidP="00E85BC3">
            <w:pPr>
              <w:pStyle w:val="Prrafodelista"/>
              <w:numPr>
                <w:ilvl w:val="0"/>
                <w:numId w:val="5"/>
              </w:numPr>
              <w:rPr>
                <w:sz w:val="24"/>
                <w:szCs w:val="24"/>
              </w:rPr>
            </w:pPr>
            <w:r w:rsidRPr="000C4E4D">
              <w:rPr>
                <w:sz w:val="24"/>
                <w:szCs w:val="24"/>
              </w:rPr>
              <w:t>The creation of a level playing field is fundamental for enabling effective competition to thrive. Data protection law helps to achieve a level playing field with regards to data access, by ensuring that processing of personal data by all parties is fair and lawful and individual rights are upheld.</w:t>
            </w:r>
          </w:p>
          <w:p w14:paraId="1CD0E2D5" w14:textId="77777777" w:rsidR="00DD6623" w:rsidRPr="00DD6623" w:rsidRDefault="00DD6623" w:rsidP="00DD6623">
            <w:pPr>
              <w:rPr>
                <w:rFonts w:ascii="Calibri" w:eastAsia="Calibri" w:hAnsi="Calibri" w:cs="Times New Roman"/>
                <w:sz w:val="24"/>
                <w:szCs w:val="24"/>
              </w:rPr>
            </w:pPr>
          </w:p>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7777777" w:rsidR="00DD6623" w:rsidRPr="00DD6623" w:rsidRDefault="00DD6623" w:rsidP="00DD6623">
            <w:pPr>
              <w:rPr>
                <w:rFonts w:ascii="Calibri" w:eastAsia="Calibri" w:hAnsi="Calibri" w:cs="Times New Roman"/>
                <w:sz w:val="24"/>
                <w:szCs w:val="24"/>
              </w:rPr>
            </w:pPr>
          </w:p>
          <w:p w14:paraId="2FF5DD50" w14:textId="0A16EF87" w:rsidR="008E231A" w:rsidRDefault="008E231A" w:rsidP="008E231A">
            <w:pPr>
              <w:rPr>
                <w:rFonts w:ascii="Calibri" w:eastAsia="Calibri" w:hAnsi="Calibri" w:cs="Times New Roman"/>
                <w:sz w:val="24"/>
                <w:szCs w:val="24"/>
              </w:rPr>
            </w:pPr>
            <w:r w:rsidRPr="008E231A">
              <w:rPr>
                <w:rFonts w:ascii="Calibri" w:eastAsia="Calibri" w:hAnsi="Calibri" w:cs="Times New Roman"/>
                <w:sz w:val="24"/>
                <w:szCs w:val="24"/>
              </w:rPr>
              <w:t xml:space="preserve">Different regulatory domains are often presented in opposition or conflict with each other. Such an approach is not only </w:t>
            </w:r>
            <w:proofErr w:type="gramStart"/>
            <w:r w:rsidRPr="008E231A">
              <w:rPr>
                <w:rFonts w:ascii="Calibri" w:eastAsia="Calibri" w:hAnsi="Calibri" w:cs="Times New Roman"/>
                <w:sz w:val="24"/>
                <w:szCs w:val="24"/>
              </w:rPr>
              <w:t>inaccurate</w:t>
            </w:r>
            <w:proofErr w:type="gramEnd"/>
            <w:r w:rsidRPr="008E231A">
              <w:rPr>
                <w:rFonts w:ascii="Calibri" w:eastAsia="Calibri" w:hAnsi="Calibri" w:cs="Times New Roman"/>
                <w:sz w:val="24"/>
                <w:szCs w:val="24"/>
              </w:rPr>
              <w:t xml:space="preserve"> but it can create obstacles for meaningful enforcement of data protection and privacy law.</w:t>
            </w:r>
          </w:p>
          <w:p w14:paraId="2CEFCCE9" w14:textId="77777777" w:rsidR="008E231A" w:rsidRPr="008E231A" w:rsidRDefault="008E231A" w:rsidP="008E231A">
            <w:pPr>
              <w:rPr>
                <w:rFonts w:ascii="Calibri" w:eastAsia="Calibri" w:hAnsi="Calibri" w:cs="Times New Roman"/>
                <w:sz w:val="24"/>
                <w:szCs w:val="24"/>
              </w:rPr>
            </w:pPr>
          </w:p>
          <w:p w14:paraId="063825D3" w14:textId="0694C956" w:rsidR="008E231A" w:rsidRDefault="008E231A" w:rsidP="008E231A">
            <w:pPr>
              <w:rPr>
                <w:rFonts w:ascii="Calibri" w:eastAsia="Calibri" w:hAnsi="Calibri" w:cs="Times New Roman"/>
                <w:sz w:val="24"/>
                <w:szCs w:val="24"/>
              </w:rPr>
            </w:pPr>
            <w:r w:rsidRPr="008E231A">
              <w:rPr>
                <w:rFonts w:ascii="Calibri" w:eastAsia="Calibri" w:hAnsi="Calibri" w:cs="Times New Roman"/>
                <w:sz w:val="24"/>
                <w:szCs w:val="24"/>
              </w:rPr>
              <w:t>With their joint statement the ICO and CMA affirmed that rather than competition and data protection being in opposition, they are complementary agendas. The regulators committed to working together to find regulatory solutions that achieve both good competition and data protection outcomes.</w:t>
            </w:r>
          </w:p>
          <w:p w14:paraId="14FC8EAF" w14:textId="77777777" w:rsidR="008E231A" w:rsidRPr="008E231A" w:rsidRDefault="008E231A" w:rsidP="008E231A">
            <w:pPr>
              <w:rPr>
                <w:rFonts w:ascii="Calibri" w:eastAsia="Calibri" w:hAnsi="Calibri" w:cs="Times New Roman"/>
                <w:sz w:val="24"/>
                <w:szCs w:val="24"/>
              </w:rPr>
            </w:pPr>
          </w:p>
          <w:p w14:paraId="330FC860" w14:textId="6B1684D7" w:rsidR="008E231A" w:rsidRDefault="008E231A" w:rsidP="008E231A">
            <w:pPr>
              <w:rPr>
                <w:rFonts w:ascii="Calibri" w:eastAsia="Calibri" w:hAnsi="Calibri" w:cs="Times New Roman"/>
                <w:sz w:val="24"/>
                <w:szCs w:val="24"/>
              </w:rPr>
            </w:pPr>
            <w:r w:rsidRPr="008E231A">
              <w:rPr>
                <w:rFonts w:ascii="Calibri" w:eastAsia="Calibri" w:hAnsi="Calibri" w:cs="Times New Roman"/>
                <w:sz w:val="24"/>
                <w:szCs w:val="24"/>
              </w:rPr>
              <w:t xml:space="preserve">Following the joint </w:t>
            </w:r>
            <w:proofErr w:type="gramStart"/>
            <w:r w:rsidRPr="008E231A">
              <w:rPr>
                <w:rFonts w:ascii="Calibri" w:eastAsia="Calibri" w:hAnsi="Calibri" w:cs="Times New Roman"/>
                <w:sz w:val="24"/>
                <w:szCs w:val="24"/>
              </w:rPr>
              <w:t>statement</w:t>
            </w:r>
            <w:proofErr w:type="gramEnd"/>
            <w:r w:rsidRPr="008E231A">
              <w:rPr>
                <w:rFonts w:ascii="Calibri" w:eastAsia="Calibri" w:hAnsi="Calibri" w:cs="Times New Roman"/>
                <w:sz w:val="24"/>
                <w:szCs w:val="24"/>
              </w:rPr>
              <w:t xml:space="preserve"> the two UK regulators continued to cooperate on projects that put the statement into practice. This was the case with the CMA’s investigation into Google’s Privacy Sandbox that led to Google offering formal commitments in terms of GPS’s development to the CMA</w:t>
            </w:r>
            <w:r w:rsidR="00A82095">
              <w:rPr>
                <w:rFonts w:ascii="Calibri" w:eastAsia="Calibri" w:hAnsi="Calibri" w:cs="Times New Roman"/>
                <w:sz w:val="24"/>
                <w:szCs w:val="24"/>
              </w:rPr>
              <w:t xml:space="preserve"> </w:t>
            </w:r>
            <w:r w:rsidRPr="008E231A">
              <w:rPr>
                <w:rFonts w:ascii="Calibri" w:eastAsia="Calibri" w:hAnsi="Calibri" w:cs="Times New Roman"/>
                <w:sz w:val="24"/>
                <w:szCs w:val="24"/>
              </w:rPr>
              <w:t xml:space="preserve">and the ICO’s Opinion on data protection and privacy expectations for online advertising proposals. </w:t>
            </w:r>
          </w:p>
          <w:p w14:paraId="218DAF5F" w14:textId="77777777" w:rsidR="008E231A" w:rsidRPr="008E231A" w:rsidRDefault="008E231A" w:rsidP="008E231A">
            <w:pPr>
              <w:rPr>
                <w:rFonts w:ascii="Calibri" w:eastAsia="Calibri" w:hAnsi="Calibri" w:cs="Times New Roman"/>
                <w:sz w:val="24"/>
                <w:szCs w:val="24"/>
              </w:rPr>
            </w:pP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672D8646" w:rsidR="00DD6623" w:rsidRPr="00DD6623" w:rsidRDefault="000C24D2" w:rsidP="00DD6623">
            <w:pPr>
              <w:rPr>
                <w:rFonts w:ascii="Calibri" w:eastAsia="Calibri" w:hAnsi="Calibri" w:cs="Times New Roman"/>
                <w:sz w:val="24"/>
                <w:szCs w:val="24"/>
              </w:rPr>
            </w:pPr>
            <w:r>
              <w:rPr>
                <w:rFonts w:ascii="Calibri" w:eastAsia="Calibri" w:hAnsi="Calibri" w:cs="Times New Roman"/>
                <w:sz w:val="24"/>
                <w:szCs w:val="24"/>
              </w:rPr>
              <w:t>n/a</w:t>
            </w: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0ACEF691" w:rsidR="00DD6623" w:rsidRDefault="00704EE4" w:rsidP="00DD6623">
            <w:pPr>
              <w:rPr>
                <w:rFonts w:ascii="Calibri" w:eastAsia="Calibri" w:hAnsi="Calibri" w:cs="Times New Roman"/>
                <w:sz w:val="24"/>
                <w:szCs w:val="24"/>
              </w:rPr>
            </w:pPr>
            <w:hyperlink r:id="rId14" w:history="1">
              <w:r w:rsidR="00D55C88" w:rsidRPr="00FA0CEC">
                <w:rPr>
                  <w:rStyle w:val="Hipervnculo"/>
                  <w:rFonts w:ascii="Calibri" w:eastAsia="Calibri" w:hAnsi="Calibri" w:cs="Times New Roman"/>
                  <w:sz w:val="24"/>
                  <w:szCs w:val="24"/>
                </w:rPr>
                <w:t>https://www.gov.uk/government/publications/cma-ico-joint-statement-on-competition-and-data-protection-law</w:t>
              </w:r>
            </w:hyperlink>
            <w:r w:rsidR="00D55C88">
              <w:rPr>
                <w:rFonts w:ascii="Calibri" w:eastAsia="Calibri" w:hAnsi="Calibri" w:cs="Times New Roman"/>
                <w:sz w:val="24"/>
                <w:szCs w:val="24"/>
              </w:rPr>
              <w:t xml:space="preserve"> </w:t>
            </w:r>
          </w:p>
          <w:p w14:paraId="40D5C81B" w14:textId="646A8CD2" w:rsidR="00F04F2C" w:rsidRDefault="00F04F2C" w:rsidP="00DD6623">
            <w:pPr>
              <w:rPr>
                <w:rFonts w:ascii="Calibri" w:eastAsia="Calibri" w:hAnsi="Calibri" w:cs="Times New Roman"/>
                <w:sz w:val="24"/>
                <w:szCs w:val="24"/>
              </w:rPr>
            </w:pPr>
          </w:p>
          <w:p w14:paraId="66A94C66" w14:textId="77777777" w:rsidR="00F04F2C" w:rsidRPr="00DD6623" w:rsidRDefault="00F04F2C" w:rsidP="00DD6623">
            <w:pPr>
              <w:rPr>
                <w:rFonts w:ascii="Calibri" w:eastAsia="Calibri" w:hAnsi="Calibri" w:cs="Times New Roman"/>
                <w:sz w:val="24"/>
                <w:szCs w:val="24"/>
              </w:rPr>
            </w:pP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0084A7EC" w:rsidR="00DD6623" w:rsidRDefault="00DD6623" w:rsidP="00DD6623">
            <w:pPr>
              <w:rPr>
                <w:rFonts w:ascii="Calibri" w:eastAsia="Calibri" w:hAnsi="Calibri" w:cs="Times New Roman"/>
                <w:i/>
                <w:iCs/>
                <w:sz w:val="24"/>
                <w:szCs w:val="24"/>
              </w:rPr>
            </w:pPr>
          </w:p>
          <w:p w14:paraId="7C2ABDEE" w14:textId="427084DB" w:rsidR="00F04F2C" w:rsidRPr="00F04F2C" w:rsidRDefault="00F04F2C" w:rsidP="00DD6623">
            <w:pPr>
              <w:rPr>
                <w:rFonts w:ascii="Calibri" w:eastAsia="Calibri" w:hAnsi="Calibri" w:cs="Times New Roman"/>
                <w:sz w:val="24"/>
                <w:szCs w:val="24"/>
              </w:rPr>
            </w:pPr>
            <w:proofErr w:type="gramStart"/>
            <w:r>
              <w:rPr>
                <w:rFonts w:ascii="Calibri" w:eastAsia="Calibri" w:hAnsi="Calibri" w:cs="Times New Roman"/>
                <w:sz w:val="24"/>
                <w:szCs w:val="24"/>
              </w:rPr>
              <w:t xml:space="preserve">The </w:t>
            </w:r>
            <w:r w:rsidR="00F51528">
              <w:rPr>
                <w:rFonts w:ascii="Calibri" w:eastAsia="Calibri" w:hAnsi="Calibri" w:cs="Times New Roman"/>
                <w:sz w:val="24"/>
                <w:szCs w:val="24"/>
              </w:rPr>
              <w:t xml:space="preserve"> CMA</w:t>
            </w:r>
            <w:proofErr w:type="gramEnd"/>
            <w:r w:rsidR="00F51528">
              <w:rPr>
                <w:rFonts w:ascii="Calibri" w:eastAsia="Calibri" w:hAnsi="Calibri" w:cs="Times New Roman"/>
                <w:sz w:val="24"/>
                <w:szCs w:val="24"/>
              </w:rPr>
              <w:t>-ICO joint</w:t>
            </w:r>
            <w:r w:rsidR="0003533F">
              <w:rPr>
                <w:rFonts w:ascii="Calibri" w:eastAsia="Calibri" w:hAnsi="Calibri" w:cs="Times New Roman"/>
                <w:sz w:val="24"/>
                <w:szCs w:val="24"/>
              </w:rPr>
              <w:t xml:space="preserve"> statement </w:t>
            </w:r>
            <w:r w:rsidR="00203483">
              <w:rPr>
                <w:rFonts w:ascii="Calibri" w:eastAsia="Calibri" w:hAnsi="Calibri" w:cs="Times New Roman"/>
                <w:sz w:val="24"/>
                <w:szCs w:val="24"/>
              </w:rPr>
              <w:t xml:space="preserve">on competition and data protection in digital markets </w:t>
            </w:r>
            <w:r w:rsidR="0003533F">
              <w:rPr>
                <w:rFonts w:ascii="Calibri" w:eastAsia="Calibri" w:hAnsi="Calibri" w:cs="Times New Roman"/>
                <w:sz w:val="24"/>
                <w:szCs w:val="24"/>
              </w:rPr>
              <w:t xml:space="preserve">was shortlisted for an Antitrust </w:t>
            </w:r>
            <w:r w:rsidR="00AC23EB">
              <w:rPr>
                <w:rFonts w:ascii="Calibri" w:eastAsia="Calibri" w:hAnsi="Calibri" w:cs="Times New Roman"/>
                <w:sz w:val="24"/>
                <w:szCs w:val="24"/>
              </w:rPr>
              <w:t>Writing Awards 2022</w:t>
            </w:r>
            <w:r w:rsidR="0003533F">
              <w:rPr>
                <w:rFonts w:ascii="Calibri" w:eastAsia="Calibri" w:hAnsi="Calibri" w:cs="Times New Roman"/>
                <w:sz w:val="24"/>
                <w:szCs w:val="24"/>
              </w:rPr>
              <w:t xml:space="preserve"> in the Digital category:</w:t>
            </w:r>
          </w:p>
          <w:p w14:paraId="5E3499F6" w14:textId="2783564A" w:rsidR="00DD6623" w:rsidRPr="00F04F2C" w:rsidRDefault="00704EE4" w:rsidP="00DD6623">
            <w:pPr>
              <w:rPr>
                <w:rFonts w:ascii="Calibri" w:eastAsia="Calibri" w:hAnsi="Calibri" w:cs="Times New Roman"/>
                <w:sz w:val="24"/>
                <w:szCs w:val="24"/>
              </w:rPr>
            </w:pPr>
            <w:hyperlink r:id="rId15" w:history="1">
              <w:r w:rsidR="00F04F2C" w:rsidRPr="00F04F2C">
                <w:rPr>
                  <w:rStyle w:val="Hipervnculo"/>
                  <w:rFonts w:ascii="Calibri" w:eastAsia="Calibri" w:hAnsi="Calibri" w:cs="Times New Roman"/>
                  <w:sz w:val="24"/>
                  <w:szCs w:val="24"/>
                </w:rPr>
                <w:t>https://awards.concurrences.com/en/awards/2022/soft-law/competition-and-data-protection-in-digital-markets-a-joint-statement-between</w:t>
              </w:r>
            </w:hyperlink>
            <w:r w:rsidR="00F04F2C" w:rsidRPr="00F04F2C">
              <w:rPr>
                <w:rFonts w:ascii="Calibri" w:eastAsia="Calibri" w:hAnsi="Calibri" w:cs="Times New Roman"/>
                <w:sz w:val="24"/>
                <w:szCs w:val="24"/>
              </w:rPr>
              <w:t xml:space="preserve"> </w:t>
            </w:r>
          </w:p>
          <w:p w14:paraId="230354C0" w14:textId="09C5A042" w:rsidR="00DD6623" w:rsidRDefault="00DD6623" w:rsidP="00DD6623">
            <w:pPr>
              <w:rPr>
                <w:rFonts w:ascii="Calibri" w:eastAsia="Calibri" w:hAnsi="Calibri" w:cs="Times New Roman"/>
                <w:sz w:val="24"/>
                <w:szCs w:val="24"/>
              </w:rPr>
            </w:pPr>
          </w:p>
          <w:p w14:paraId="7DA1B6D9" w14:textId="3D881423" w:rsidR="004577AA" w:rsidRDefault="004577AA" w:rsidP="00DD6623">
            <w:pPr>
              <w:rPr>
                <w:rFonts w:ascii="Calibri" w:eastAsia="Calibri" w:hAnsi="Calibri" w:cs="Times New Roman"/>
                <w:sz w:val="24"/>
                <w:szCs w:val="24"/>
              </w:rPr>
            </w:pPr>
            <w:r>
              <w:rPr>
                <w:rFonts w:ascii="Calibri" w:eastAsia="Calibri" w:hAnsi="Calibri" w:cs="Times New Roman"/>
                <w:sz w:val="24"/>
                <w:szCs w:val="24"/>
              </w:rPr>
              <w:t>Joint work that built on the statement:</w:t>
            </w:r>
          </w:p>
          <w:p w14:paraId="287954C3" w14:textId="277745C8" w:rsidR="004577AA" w:rsidRDefault="00704EE4" w:rsidP="00DD6623">
            <w:pPr>
              <w:rPr>
                <w:rFonts w:ascii="Calibri" w:eastAsia="Calibri" w:hAnsi="Calibri" w:cs="Times New Roman"/>
                <w:sz w:val="24"/>
                <w:szCs w:val="24"/>
              </w:rPr>
            </w:pPr>
            <w:hyperlink r:id="rId16" w:history="1">
              <w:r w:rsidR="004577AA" w:rsidRPr="00FA0CEC">
                <w:rPr>
                  <w:rStyle w:val="Hipervnculo"/>
                  <w:rFonts w:ascii="Calibri" w:eastAsia="Calibri" w:hAnsi="Calibri" w:cs="Times New Roman"/>
                  <w:sz w:val="24"/>
                  <w:szCs w:val="24"/>
                </w:rPr>
                <w:t>https://www.gov.uk/cma-cases/investigation-into-googles-privacy-sandbox-browser-changes</w:t>
              </w:r>
            </w:hyperlink>
          </w:p>
          <w:p w14:paraId="25BCCE4B" w14:textId="5742D568" w:rsidR="00EB2A64" w:rsidRDefault="00EB2A64" w:rsidP="00DD6623">
            <w:pPr>
              <w:rPr>
                <w:rFonts w:ascii="Calibri" w:eastAsia="Calibri" w:hAnsi="Calibri" w:cs="Times New Roman"/>
                <w:sz w:val="24"/>
                <w:szCs w:val="24"/>
              </w:rPr>
            </w:pPr>
          </w:p>
          <w:p w14:paraId="3A01DF88" w14:textId="3CD3D604" w:rsidR="00EB2A64" w:rsidRDefault="00704EE4" w:rsidP="00DD6623">
            <w:pPr>
              <w:rPr>
                <w:rFonts w:ascii="Calibri" w:eastAsia="Calibri" w:hAnsi="Calibri" w:cs="Times New Roman"/>
                <w:sz w:val="24"/>
                <w:szCs w:val="24"/>
              </w:rPr>
            </w:pPr>
            <w:hyperlink r:id="rId17" w:history="1">
              <w:r w:rsidR="00EB2A64" w:rsidRPr="00FA0CEC">
                <w:rPr>
                  <w:rStyle w:val="Hipervnculo"/>
                  <w:rFonts w:ascii="Calibri" w:eastAsia="Calibri" w:hAnsi="Calibri" w:cs="Times New Roman"/>
                  <w:sz w:val="24"/>
                  <w:szCs w:val="24"/>
                </w:rPr>
                <w:t>https://assets.publishing.service.gov.uk/media/62052c6a8fa8f510a204374a/100222_Appendix_1A_Google_s_final_commitments.pdf</w:t>
              </w:r>
            </w:hyperlink>
            <w:r w:rsidR="00EB2A64">
              <w:rPr>
                <w:rFonts w:ascii="Calibri" w:eastAsia="Calibri" w:hAnsi="Calibri" w:cs="Times New Roman"/>
                <w:sz w:val="24"/>
                <w:szCs w:val="24"/>
              </w:rPr>
              <w:t xml:space="preserve"> </w:t>
            </w:r>
          </w:p>
          <w:p w14:paraId="28F4A623" w14:textId="1553711C" w:rsidR="004577AA" w:rsidRDefault="004577AA" w:rsidP="00DD6623">
            <w:pPr>
              <w:rPr>
                <w:rFonts w:ascii="Calibri" w:eastAsia="Calibri" w:hAnsi="Calibri" w:cs="Times New Roman"/>
                <w:sz w:val="24"/>
                <w:szCs w:val="24"/>
              </w:rPr>
            </w:pPr>
          </w:p>
          <w:p w14:paraId="3D26F9B1" w14:textId="4F45DAA4" w:rsidR="004577AA" w:rsidRDefault="004577AA" w:rsidP="00DD6623">
            <w:pPr>
              <w:rPr>
                <w:rFonts w:ascii="Calibri" w:eastAsia="Calibri" w:hAnsi="Calibri" w:cs="Times New Roman"/>
                <w:sz w:val="24"/>
                <w:szCs w:val="24"/>
              </w:rPr>
            </w:pPr>
            <w:r>
              <w:rPr>
                <w:rFonts w:ascii="Calibri" w:eastAsia="Calibri" w:hAnsi="Calibri" w:cs="Times New Roman"/>
                <w:sz w:val="24"/>
                <w:szCs w:val="24"/>
              </w:rPr>
              <w:t>ICO opinion following the statement:</w:t>
            </w:r>
          </w:p>
          <w:p w14:paraId="45E1A004" w14:textId="4B7B3532" w:rsidR="004577AA" w:rsidRPr="00DD6623" w:rsidRDefault="00704EE4" w:rsidP="00DD6623">
            <w:pPr>
              <w:rPr>
                <w:rFonts w:ascii="Calibri" w:eastAsia="Calibri" w:hAnsi="Calibri" w:cs="Times New Roman"/>
                <w:sz w:val="24"/>
                <w:szCs w:val="24"/>
              </w:rPr>
            </w:pPr>
            <w:hyperlink r:id="rId18" w:history="1">
              <w:r w:rsidR="00627E87" w:rsidRPr="00FA0CEC">
                <w:rPr>
                  <w:rStyle w:val="Hipervnculo"/>
                  <w:rFonts w:ascii="Calibri" w:eastAsia="Calibri" w:hAnsi="Calibri" w:cs="Times New Roman"/>
                  <w:sz w:val="24"/>
                  <w:szCs w:val="24"/>
                </w:rPr>
                <w:t>https://ico.org.uk/media/about-the-ico/documents/4019050/opinion-on-data-protection-and-privacy-expectations-for-online-advertising-proposals.pdf</w:t>
              </w:r>
            </w:hyperlink>
            <w:r w:rsidR="00627E87">
              <w:rPr>
                <w:rFonts w:ascii="Calibri" w:eastAsia="Calibri" w:hAnsi="Calibri" w:cs="Times New Roman"/>
                <w:sz w:val="24"/>
                <w:szCs w:val="24"/>
              </w:rPr>
              <w:t xml:space="preserve"> </w:t>
            </w: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9"/>
      <w:footerReference w:type="default" r:id="rId20"/>
      <w:headerReference w:type="first" r:id="rId21"/>
      <w:footerReference w:type="first" r:id="rId22"/>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E297" w14:textId="77777777" w:rsidR="00704EE4" w:rsidRDefault="00704EE4" w:rsidP="00F41B32">
      <w:pPr>
        <w:spacing w:after="0" w:line="240" w:lineRule="auto"/>
      </w:pPr>
      <w:r>
        <w:separator/>
      </w:r>
    </w:p>
  </w:endnote>
  <w:endnote w:type="continuationSeparator" w:id="0">
    <w:p w14:paraId="50B87957" w14:textId="77777777" w:rsidR="00704EE4" w:rsidRDefault="00704EE4" w:rsidP="00F41B32">
      <w:pPr>
        <w:spacing w:after="0" w:line="240" w:lineRule="auto"/>
      </w:pPr>
      <w:r>
        <w:continuationSeparator/>
      </w:r>
    </w:p>
  </w:endnote>
  <w:endnote w:type="continuationNotice" w:id="1">
    <w:p w14:paraId="2404835B" w14:textId="77777777" w:rsidR="00704EE4" w:rsidRDefault="00704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4A4F" w14:textId="77777777" w:rsidR="00704EE4" w:rsidRDefault="00704EE4" w:rsidP="00F41B32">
      <w:pPr>
        <w:spacing w:after="0" w:line="240" w:lineRule="auto"/>
      </w:pPr>
      <w:r>
        <w:separator/>
      </w:r>
    </w:p>
  </w:footnote>
  <w:footnote w:type="continuationSeparator" w:id="0">
    <w:p w14:paraId="218CB33F" w14:textId="77777777" w:rsidR="00704EE4" w:rsidRDefault="00704EE4" w:rsidP="00F41B32">
      <w:pPr>
        <w:spacing w:after="0" w:line="240" w:lineRule="auto"/>
      </w:pPr>
      <w:r>
        <w:continuationSeparator/>
      </w:r>
    </w:p>
  </w:footnote>
  <w:footnote w:type="continuationNotice" w:id="1">
    <w:p w14:paraId="04E3097F" w14:textId="77777777" w:rsidR="00704EE4" w:rsidRDefault="00704EE4">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EFC"/>
    <w:multiLevelType w:val="hybridMultilevel"/>
    <w:tmpl w:val="8A92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41782953">
    <w:abstractNumId w:val="1"/>
  </w:num>
  <w:num w:numId="2" w16cid:durableId="1919173016">
    <w:abstractNumId w:val="4"/>
  </w:num>
  <w:num w:numId="3" w16cid:durableId="1738243251">
    <w:abstractNumId w:val="2"/>
  </w:num>
  <w:num w:numId="4" w16cid:durableId="182015408">
    <w:abstractNumId w:val="3"/>
  </w:num>
  <w:num w:numId="5" w16cid:durableId="202959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3533F"/>
    <w:rsid w:val="00054D8F"/>
    <w:rsid w:val="00074986"/>
    <w:rsid w:val="000C24D2"/>
    <w:rsid w:val="000C4E4D"/>
    <w:rsid w:val="001268C5"/>
    <w:rsid w:val="00150BA3"/>
    <w:rsid w:val="00171841"/>
    <w:rsid w:val="00177F95"/>
    <w:rsid w:val="00193EBC"/>
    <w:rsid w:val="001B1447"/>
    <w:rsid w:val="001B3FE8"/>
    <w:rsid w:val="001D4FC2"/>
    <w:rsid w:val="001E382C"/>
    <w:rsid w:val="00203483"/>
    <w:rsid w:val="00212E8B"/>
    <w:rsid w:val="00216430"/>
    <w:rsid w:val="00233C51"/>
    <w:rsid w:val="00235848"/>
    <w:rsid w:val="002604F5"/>
    <w:rsid w:val="002764E1"/>
    <w:rsid w:val="00281428"/>
    <w:rsid w:val="002D106F"/>
    <w:rsid w:val="002F6A07"/>
    <w:rsid w:val="002F7D3D"/>
    <w:rsid w:val="00301994"/>
    <w:rsid w:val="00316AE1"/>
    <w:rsid w:val="003800F5"/>
    <w:rsid w:val="003804F0"/>
    <w:rsid w:val="003A0EC7"/>
    <w:rsid w:val="003B7DAA"/>
    <w:rsid w:val="003D58FC"/>
    <w:rsid w:val="003F3281"/>
    <w:rsid w:val="0043397E"/>
    <w:rsid w:val="004467A0"/>
    <w:rsid w:val="004577AA"/>
    <w:rsid w:val="00480B2C"/>
    <w:rsid w:val="0049273F"/>
    <w:rsid w:val="004C41B3"/>
    <w:rsid w:val="004D1E2E"/>
    <w:rsid w:val="004D382B"/>
    <w:rsid w:val="004D682C"/>
    <w:rsid w:val="004E5F37"/>
    <w:rsid w:val="00500A57"/>
    <w:rsid w:val="00502848"/>
    <w:rsid w:val="00514A4F"/>
    <w:rsid w:val="00571EC7"/>
    <w:rsid w:val="0057237B"/>
    <w:rsid w:val="005C0354"/>
    <w:rsid w:val="005E12FC"/>
    <w:rsid w:val="005E4FDC"/>
    <w:rsid w:val="00600353"/>
    <w:rsid w:val="00627E87"/>
    <w:rsid w:val="00633D54"/>
    <w:rsid w:val="006756E8"/>
    <w:rsid w:val="0068231A"/>
    <w:rsid w:val="006832D5"/>
    <w:rsid w:val="00697F72"/>
    <w:rsid w:val="006A3D3A"/>
    <w:rsid w:val="006E1894"/>
    <w:rsid w:val="0070032E"/>
    <w:rsid w:val="00704EE4"/>
    <w:rsid w:val="0071587F"/>
    <w:rsid w:val="0072573D"/>
    <w:rsid w:val="0073454C"/>
    <w:rsid w:val="007B2B44"/>
    <w:rsid w:val="007B6E8E"/>
    <w:rsid w:val="007D00E1"/>
    <w:rsid w:val="00805A48"/>
    <w:rsid w:val="00806684"/>
    <w:rsid w:val="00816ED0"/>
    <w:rsid w:val="0082165F"/>
    <w:rsid w:val="0082183A"/>
    <w:rsid w:val="00830CDA"/>
    <w:rsid w:val="00863C68"/>
    <w:rsid w:val="008D3516"/>
    <w:rsid w:val="008E231A"/>
    <w:rsid w:val="00903E7C"/>
    <w:rsid w:val="00991E08"/>
    <w:rsid w:val="00A3098B"/>
    <w:rsid w:val="00A30B63"/>
    <w:rsid w:val="00A42A5D"/>
    <w:rsid w:val="00A45AD6"/>
    <w:rsid w:val="00A5284C"/>
    <w:rsid w:val="00A82095"/>
    <w:rsid w:val="00A947E7"/>
    <w:rsid w:val="00AC02D8"/>
    <w:rsid w:val="00AC23EB"/>
    <w:rsid w:val="00AE5B84"/>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55C88"/>
    <w:rsid w:val="00D60184"/>
    <w:rsid w:val="00D67BB7"/>
    <w:rsid w:val="00D71F2D"/>
    <w:rsid w:val="00D81921"/>
    <w:rsid w:val="00D97CA0"/>
    <w:rsid w:val="00DC58A3"/>
    <w:rsid w:val="00DC6E06"/>
    <w:rsid w:val="00DD6623"/>
    <w:rsid w:val="00DE2947"/>
    <w:rsid w:val="00DE7A0D"/>
    <w:rsid w:val="00DF40FC"/>
    <w:rsid w:val="00E02E87"/>
    <w:rsid w:val="00E43076"/>
    <w:rsid w:val="00E57180"/>
    <w:rsid w:val="00E85BC3"/>
    <w:rsid w:val="00E90C6C"/>
    <w:rsid w:val="00E933E6"/>
    <w:rsid w:val="00EB2A64"/>
    <w:rsid w:val="00EB7B53"/>
    <w:rsid w:val="00EC42EF"/>
    <w:rsid w:val="00F04F2C"/>
    <w:rsid w:val="00F41B32"/>
    <w:rsid w:val="00F51528"/>
    <w:rsid w:val="00F6187A"/>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2F6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a@ico.org.uk" TargetMode="External"/><Relationship Id="rId18" Type="http://schemas.openxmlformats.org/officeDocument/2006/relationships/hyperlink" Target="https://ico.org.uk/media/about-the-ico/documents/4019050/opinion-on-data-protection-and-privacy-expectations-for-online-advertising-proposal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ophia.ignatidou@ico.org.uk" TargetMode="External"/><Relationship Id="rId17" Type="http://schemas.openxmlformats.org/officeDocument/2006/relationships/hyperlink" Target="https://assets.publishing.service.gov.uk/media/62052c6a8fa8f510a204374a/100222_Appendix_1A_Google_s_final_commitments.pdf" TargetMode="External"/><Relationship Id="rId2" Type="http://schemas.openxmlformats.org/officeDocument/2006/relationships/customXml" Target="../customXml/item2.xml"/><Relationship Id="rId16" Type="http://schemas.openxmlformats.org/officeDocument/2006/relationships/hyperlink" Target="https://www.gov.uk/cma-cases/investigation-into-googles-privacy-sandbox-browser-chang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wards.concurrences.com/en/awards/2022/soft-law/competition-and-data-protection-in-digital-markets-a-joint-statement-betwe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ma-ico-joint-statement-on-competition-and-data-protection-law"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2.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E0751-3F89-407F-B557-A1264B137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6186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2022-06-30T16:51:00Z</dcterms:created>
  <dcterms:modified xsi:type="dcterms:W3CDTF">2022-06-30T16:51:00Z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