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0D06E369" w:rsidR="00DD6623" w:rsidRPr="00DD6623" w:rsidRDefault="00196153" w:rsidP="00DD6623">
            <w:pPr>
              <w:rPr>
                <w:rFonts w:ascii="Calibri" w:eastAsia="Calibri" w:hAnsi="Calibri" w:cs="Times New Roman"/>
                <w:sz w:val="24"/>
                <w:szCs w:val="24"/>
              </w:rPr>
            </w:pPr>
            <w:r>
              <w:rPr>
                <w:rFonts w:ascii="Calibri" w:eastAsia="Calibri" w:hAnsi="Calibri" w:cs="Times New Roman"/>
                <w:sz w:val="24"/>
                <w:szCs w:val="24"/>
              </w:rPr>
              <w:t>Office of the Australian Information Commissioner (OAIC)</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70420CD0" w:rsidR="00DD6623" w:rsidRPr="00DD6623" w:rsidRDefault="00196153" w:rsidP="00DD6623">
            <w:pPr>
              <w:rPr>
                <w:rFonts w:ascii="Calibri" w:eastAsia="Calibri" w:hAnsi="Calibri" w:cs="Times New Roman"/>
                <w:sz w:val="24"/>
                <w:szCs w:val="24"/>
              </w:rPr>
            </w:pPr>
            <w:r>
              <w:rPr>
                <w:rFonts w:ascii="Calibri" w:eastAsia="Calibri" w:hAnsi="Calibri" w:cs="Times New Roman"/>
                <w:sz w:val="24"/>
                <w:szCs w:val="24"/>
              </w:rPr>
              <w:t xml:space="preserve">Andrew Stokes </w:t>
            </w:r>
          </w:p>
        </w:tc>
        <w:tc>
          <w:tcPr>
            <w:tcW w:w="3006" w:type="dxa"/>
            <w:tcBorders>
              <w:left w:val="nil"/>
              <w:bottom w:val="single" w:sz="4" w:space="0" w:color="auto"/>
              <w:right w:val="nil"/>
            </w:tcBorders>
          </w:tcPr>
          <w:p w14:paraId="1270AD7E" w14:textId="77777777" w:rsidR="00DD6623" w:rsidRPr="00DD6623" w:rsidRDefault="00DD6623" w:rsidP="00DD6623">
            <w:pPr>
              <w:rPr>
                <w:rFonts w:ascii="Calibri" w:eastAsia="Calibri" w:hAnsi="Calibri" w:cs="Times New Roman"/>
                <w:sz w:val="24"/>
                <w:szCs w:val="24"/>
              </w:rPr>
            </w:pP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6116BFEB" w:rsidR="0082183A" w:rsidRPr="00DD6623" w:rsidRDefault="00196153" w:rsidP="00DD6623">
            <w:pPr>
              <w:rPr>
                <w:rFonts w:ascii="Calibri" w:eastAsia="Calibri" w:hAnsi="Calibri" w:cs="Times New Roman"/>
                <w:sz w:val="24"/>
                <w:szCs w:val="24"/>
              </w:rPr>
            </w:pPr>
            <w:r>
              <w:rPr>
                <w:rFonts w:ascii="Calibri" w:eastAsia="Calibri" w:hAnsi="Calibri" w:cs="Times New Roman"/>
                <w:sz w:val="24"/>
                <w:szCs w:val="24"/>
              </w:rPr>
              <w:t>Director, Strategic Communications</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753A35B2" w:rsidR="00DD6623" w:rsidRPr="00DD6623" w:rsidRDefault="00E6628E" w:rsidP="00DD6623">
            <w:pPr>
              <w:rPr>
                <w:rFonts w:ascii="Calibri" w:eastAsia="Calibri" w:hAnsi="Calibri" w:cs="Times New Roman"/>
                <w:sz w:val="24"/>
                <w:szCs w:val="24"/>
              </w:rPr>
            </w:pPr>
            <w:hyperlink r:id="rId12" w:history="1">
              <w:r w:rsidR="00196153" w:rsidRPr="00980D77">
                <w:rPr>
                  <w:rStyle w:val="Hipervnculo"/>
                  <w:rFonts w:ascii="Calibri" w:eastAsia="Calibri" w:hAnsi="Calibri" w:cs="Times New Roman"/>
                  <w:sz w:val="24"/>
                  <w:szCs w:val="24"/>
                </w:rPr>
                <w:t>andrew.stokes@oaic.gov.au</w:t>
              </w:r>
            </w:hyperlink>
            <w:r w:rsidR="00196153">
              <w:rPr>
                <w:rFonts w:ascii="Calibri" w:eastAsia="Calibri" w:hAnsi="Calibri" w:cs="Times New Roman"/>
                <w:sz w:val="24"/>
                <w:szCs w:val="24"/>
              </w:rPr>
              <w:t xml:space="preserve">; </w:t>
            </w:r>
            <w:hyperlink r:id="rId13" w:history="1">
              <w:r w:rsidR="00196153" w:rsidRPr="00980D77">
                <w:rPr>
                  <w:rStyle w:val="Hipervnculo"/>
                  <w:rFonts w:ascii="Calibri" w:eastAsia="Calibri" w:hAnsi="Calibri" w:cs="Times New Roman"/>
                  <w:sz w:val="24"/>
                  <w:szCs w:val="24"/>
                </w:rPr>
                <w:t>corporate@oaic.gov.au</w:t>
              </w:r>
            </w:hyperlink>
            <w:r w:rsidR="00196153">
              <w:rPr>
                <w:rFonts w:ascii="Calibri" w:eastAsia="Calibri" w:hAnsi="Calibri" w:cs="Times New Roman"/>
                <w:sz w:val="24"/>
                <w:szCs w:val="24"/>
              </w:rPr>
              <w:t xml:space="preserve"> </w:t>
            </w:r>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368E7B35" w:rsidR="00DD6623" w:rsidRPr="00DD6623" w:rsidRDefault="00196153"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4FA507F9" w:rsidR="00DD6623" w:rsidRPr="00DD6623" w:rsidRDefault="00196153"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0761C9BE" w:rsidR="00DD6623" w:rsidRPr="00DD6623" w:rsidRDefault="00196153"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074D89C2" w:rsidR="00DD6623" w:rsidRPr="00DD6623" w:rsidRDefault="00196153"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27A19812" w:rsidR="00DD6623" w:rsidRDefault="00DD6623" w:rsidP="00DD6623">
            <w:pPr>
              <w:rPr>
                <w:rFonts w:ascii="Calibri" w:eastAsia="Calibri" w:hAnsi="Calibri" w:cs="Times New Roman"/>
                <w:sz w:val="24"/>
                <w:szCs w:val="24"/>
              </w:rPr>
            </w:pPr>
          </w:p>
          <w:p w14:paraId="1B59C4D1" w14:textId="56CB9FEE" w:rsidR="003E4D70" w:rsidRDefault="003E4D70" w:rsidP="00793B52">
            <w:pPr>
              <w:rPr>
                <w:rFonts w:ascii="Calibri" w:eastAsia="Calibri" w:hAnsi="Calibri" w:cs="Times New Roman"/>
                <w:sz w:val="24"/>
                <w:szCs w:val="24"/>
              </w:rPr>
            </w:pPr>
            <w:r>
              <w:rPr>
                <w:rFonts w:ascii="Calibri" w:eastAsia="Calibri" w:hAnsi="Calibri" w:cs="Times New Roman"/>
                <w:sz w:val="24"/>
                <w:szCs w:val="24"/>
              </w:rPr>
              <w:t xml:space="preserve">The Office of the Australian Information Commissioner (OAIC) publishes </w:t>
            </w:r>
            <w:hyperlink r:id="rId14" w:history="1">
              <w:r w:rsidRPr="00793B52">
                <w:rPr>
                  <w:rStyle w:val="Hipervnculo"/>
                  <w:rFonts w:ascii="Calibri" w:eastAsia="Calibri" w:hAnsi="Calibri" w:cs="Times New Roman"/>
                  <w:sz w:val="24"/>
                  <w:szCs w:val="24"/>
                </w:rPr>
                <w:t>statistics</w:t>
              </w:r>
            </w:hyperlink>
            <w:r>
              <w:rPr>
                <w:rFonts w:ascii="Calibri" w:eastAsia="Calibri" w:hAnsi="Calibri" w:cs="Times New Roman"/>
                <w:sz w:val="24"/>
                <w:szCs w:val="24"/>
              </w:rPr>
              <w:t xml:space="preserve"> </w:t>
            </w:r>
            <w:r w:rsidR="00927534">
              <w:rPr>
                <w:rFonts w:ascii="Calibri" w:eastAsia="Calibri" w:hAnsi="Calibri" w:cs="Times New Roman"/>
                <w:sz w:val="24"/>
                <w:szCs w:val="24"/>
              </w:rPr>
              <w:t xml:space="preserve">bi-annually </w:t>
            </w:r>
            <w:r>
              <w:rPr>
                <w:rFonts w:ascii="Calibri" w:eastAsia="Calibri" w:hAnsi="Calibri" w:cs="Times New Roman"/>
                <w:sz w:val="24"/>
                <w:szCs w:val="24"/>
              </w:rPr>
              <w:t xml:space="preserve">about data breaches reported under the </w:t>
            </w:r>
            <w:hyperlink r:id="rId15" w:history="1">
              <w:r w:rsidRPr="002A3D66">
                <w:rPr>
                  <w:rStyle w:val="Hipervnculo"/>
                  <w:rFonts w:ascii="Calibri" w:eastAsia="Calibri" w:hAnsi="Calibri" w:cs="Times New Roman"/>
                  <w:sz w:val="24"/>
                  <w:szCs w:val="24"/>
                </w:rPr>
                <w:t>Notifiable Data Breaches (NDB) scheme</w:t>
              </w:r>
            </w:hyperlink>
            <w:r w:rsidR="009B0066">
              <w:rPr>
                <w:rFonts w:ascii="Calibri" w:eastAsia="Calibri" w:hAnsi="Calibri" w:cs="Times New Roman"/>
                <w:sz w:val="24"/>
                <w:szCs w:val="24"/>
              </w:rPr>
              <w:t xml:space="preserve"> to </w:t>
            </w:r>
            <w:r w:rsidR="00E325BD">
              <w:rPr>
                <w:rFonts w:ascii="Calibri" w:eastAsia="Calibri" w:hAnsi="Calibri" w:cs="Times New Roman"/>
                <w:sz w:val="24"/>
                <w:szCs w:val="24"/>
              </w:rPr>
              <w:t xml:space="preserve">assist entities and the public to understand </w:t>
            </w:r>
            <w:r w:rsidR="00A26D51">
              <w:rPr>
                <w:rFonts w:ascii="Calibri" w:eastAsia="Calibri" w:hAnsi="Calibri" w:cs="Times New Roman"/>
                <w:sz w:val="24"/>
                <w:szCs w:val="24"/>
              </w:rPr>
              <w:t>privacy risks identified through the scheme</w:t>
            </w:r>
            <w:r w:rsidR="00E325BD">
              <w:rPr>
                <w:rFonts w:ascii="Calibri" w:eastAsia="Calibri" w:hAnsi="Calibri" w:cs="Times New Roman"/>
                <w:sz w:val="24"/>
                <w:szCs w:val="24"/>
              </w:rPr>
              <w:t xml:space="preserve">. </w:t>
            </w:r>
            <w:r w:rsidR="00793B52">
              <w:rPr>
                <w:rFonts w:ascii="Calibri" w:eastAsia="Calibri" w:hAnsi="Calibri" w:cs="Times New Roman"/>
                <w:sz w:val="24"/>
                <w:szCs w:val="24"/>
              </w:rPr>
              <w:t xml:space="preserve">The provision of clear </w:t>
            </w:r>
            <w:r w:rsidR="00E325BD">
              <w:rPr>
                <w:rFonts w:ascii="Calibri" w:eastAsia="Calibri" w:hAnsi="Calibri" w:cs="Times New Roman"/>
                <w:sz w:val="24"/>
                <w:szCs w:val="24"/>
              </w:rPr>
              <w:t>information on data breach</w:t>
            </w:r>
            <w:r w:rsidR="00DA268A">
              <w:rPr>
                <w:rFonts w:ascii="Calibri" w:eastAsia="Calibri" w:hAnsi="Calibri" w:cs="Times New Roman"/>
                <w:sz w:val="24"/>
                <w:szCs w:val="24"/>
              </w:rPr>
              <w:t xml:space="preserve"> causes</w:t>
            </w:r>
            <w:r w:rsidR="00793B52">
              <w:rPr>
                <w:rFonts w:ascii="Calibri" w:eastAsia="Calibri" w:hAnsi="Calibri" w:cs="Times New Roman"/>
                <w:sz w:val="24"/>
                <w:szCs w:val="24"/>
              </w:rPr>
              <w:t xml:space="preserve"> supports</w:t>
            </w:r>
            <w:r w:rsidR="00E325BD">
              <w:rPr>
                <w:rFonts w:ascii="Calibri" w:eastAsia="Calibri" w:hAnsi="Calibri" w:cs="Times New Roman"/>
                <w:sz w:val="24"/>
                <w:szCs w:val="24"/>
              </w:rPr>
              <w:t xml:space="preserve"> entities </w:t>
            </w:r>
            <w:r w:rsidR="00793B52">
              <w:rPr>
                <w:rFonts w:ascii="Calibri" w:eastAsia="Calibri" w:hAnsi="Calibri" w:cs="Times New Roman"/>
                <w:sz w:val="24"/>
                <w:szCs w:val="24"/>
              </w:rPr>
              <w:t>to</w:t>
            </w:r>
            <w:r w:rsidR="00E325BD">
              <w:rPr>
                <w:rFonts w:ascii="Calibri" w:eastAsia="Calibri" w:hAnsi="Calibri" w:cs="Times New Roman"/>
                <w:sz w:val="24"/>
                <w:szCs w:val="24"/>
              </w:rPr>
              <w:t xml:space="preserve"> assess </w:t>
            </w:r>
            <w:r w:rsidR="00793B52">
              <w:rPr>
                <w:rFonts w:ascii="Calibri" w:eastAsia="Calibri" w:hAnsi="Calibri" w:cs="Times New Roman"/>
                <w:sz w:val="24"/>
                <w:szCs w:val="24"/>
              </w:rPr>
              <w:t>and improve their security posture</w:t>
            </w:r>
            <w:r w:rsidR="00DA268A">
              <w:rPr>
                <w:rFonts w:ascii="Calibri" w:eastAsia="Calibri" w:hAnsi="Calibri" w:cs="Times New Roman"/>
                <w:sz w:val="24"/>
                <w:szCs w:val="24"/>
              </w:rPr>
              <w:t>s</w:t>
            </w:r>
            <w:r w:rsidR="00793B52">
              <w:rPr>
                <w:rFonts w:ascii="Calibri" w:eastAsia="Calibri" w:hAnsi="Calibri" w:cs="Times New Roman"/>
                <w:sz w:val="24"/>
                <w:szCs w:val="24"/>
              </w:rPr>
              <w:t xml:space="preserve"> to minimise </w:t>
            </w:r>
            <w:r w:rsidR="00A26D51">
              <w:rPr>
                <w:rFonts w:ascii="Calibri" w:eastAsia="Calibri" w:hAnsi="Calibri" w:cs="Times New Roman"/>
                <w:sz w:val="24"/>
                <w:szCs w:val="24"/>
              </w:rPr>
              <w:t>this risk</w:t>
            </w:r>
            <w:r w:rsidR="00793B52">
              <w:rPr>
                <w:rFonts w:ascii="Calibri" w:eastAsia="Calibri" w:hAnsi="Calibri" w:cs="Times New Roman"/>
                <w:sz w:val="24"/>
                <w:szCs w:val="24"/>
              </w:rPr>
              <w:t>. The reports</w:t>
            </w:r>
            <w:r w:rsidR="009B0066">
              <w:rPr>
                <w:rFonts w:ascii="Calibri" w:eastAsia="Calibri" w:hAnsi="Calibri" w:cs="Times New Roman"/>
                <w:sz w:val="24"/>
                <w:szCs w:val="24"/>
              </w:rPr>
              <w:t xml:space="preserve"> </w:t>
            </w:r>
            <w:r w:rsidR="00DA268A">
              <w:rPr>
                <w:rFonts w:ascii="Calibri" w:eastAsia="Calibri" w:hAnsi="Calibri" w:cs="Times New Roman"/>
                <w:sz w:val="24"/>
                <w:szCs w:val="24"/>
              </w:rPr>
              <w:t xml:space="preserve">are highly anticipated by industry, </w:t>
            </w:r>
            <w:r w:rsidR="009B0066">
              <w:rPr>
                <w:rFonts w:ascii="Calibri" w:eastAsia="Calibri" w:hAnsi="Calibri" w:cs="Times New Roman"/>
                <w:sz w:val="24"/>
                <w:szCs w:val="24"/>
              </w:rPr>
              <w:t>garner significant media coverage and</w:t>
            </w:r>
            <w:r w:rsidR="00793B52">
              <w:rPr>
                <w:rFonts w:ascii="Calibri" w:eastAsia="Calibri" w:hAnsi="Calibri" w:cs="Times New Roman"/>
                <w:sz w:val="24"/>
                <w:szCs w:val="24"/>
              </w:rPr>
              <w:t xml:space="preserve"> </w:t>
            </w:r>
            <w:r w:rsidR="00DA268A">
              <w:rPr>
                <w:rFonts w:ascii="Calibri" w:eastAsia="Calibri" w:hAnsi="Calibri" w:cs="Times New Roman"/>
                <w:sz w:val="24"/>
                <w:szCs w:val="24"/>
              </w:rPr>
              <w:t>are</w:t>
            </w:r>
            <w:r w:rsidR="009B0066">
              <w:rPr>
                <w:rFonts w:ascii="Calibri" w:eastAsia="Calibri" w:hAnsi="Calibri" w:cs="Times New Roman"/>
                <w:sz w:val="24"/>
                <w:szCs w:val="24"/>
              </w:rPr>
              <w:t xml:space="preserve"> </w:t>
            </w:r>
            <w:r w:rsidR="00793B52">
              <w:rPr>
                <w:rFonts w:ascii="Calibri" w:eastAsia="Calibri" w:hAnsi="Calibri" w:cs="Times New Roman"/>
                <w:sz w:val="24"/>
                <w:szCs w:val="24"/>
              </w:rPr>
              <w:t xml:space="preserve">a sought-after </w:t>
            </w:r>
            <w:r w:rsidR="00DA268A">
              <w:rPr>
                <w:rFonts w:ascii="Calibri" w:eastAsia="Calibri" w:hAnsi="Calibri" w:cs="Times New Roman"/>
                <w:sz w:val="24"/>
                <w:szCs w:val="24"/>
              </w:rPr>
              <w:t xml:space="preserve">presentation </w:t>
            </w:r>
            <w:r w:rsidR="00793B52">
              <w:rPr>
                <w:rFonts w:ascii="Calibri" w:eastAsia="Calibri" w:hAnsi="Calibri" w:cs="Times New Roman"/>
                <w:sz w:val="24"/>
                <w:szCs w:val="24"/>
              </w:rPr>
              <w:t xml:space="preserve">topic. </w:t>
            </w:r>
          </w:p>
          <w:p w14:paraId="4217F53A" w14:textId="4B667EB4" w:rsidR="00DA268A" w:rsidRPr="003E4D70" w:rsidRDefault="00DA268A" w:rsidP="00793B52">
            <w:pPr>
              <w:rPr>
                <w:rFonts w:ascii="Calibri" w:eastAsia="Calibri" w:hAnsi="Calibri" w:cs="Times New Roman"/>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3314D4D3" w14:textId="526FBFFB" w:rsidR="00DD6623" w:rsidRDefault="00DD6623" w:rsidP="007C5278">
            <w:pPr>
              <w:rPr>
                <w:rFonts w:ascii="Calibri" w:eastAsia="Calibri" w:hAnsi="Calibri" w:cs="Times New Roman"/>
                <w:sz w:val="24"/>
                <w:szCs w:val="24"/>
              </w:rPr>
            </w:pPr>
          </w:p>
          <w:p w14:paraId="41357BF8" w14:textId="468298EB" w:rsidR="003E4D70" w:rsidRDefault="003E4D70" w:rsidP="00E325BD">
            <w:pPr>
              <w:rPr>
                <w:rFonts w:ascii="Calibri" w:eastAsia="Calibri" w:hAnsi="Calibri" w:cs="Times New Roman"/>
                <w:sz w:val="24"/>
                <w:szCs w:val="24"/>
              </w:rPr>
            </w:pPr>
            <w:r>
              <w:rPr>
                <w:rFonts w:ascii="Calibri" w:eastAsia="Calibri" w:hAnsi="Calibri" w:cs="Times New Roman"/>
                <w:sz w:val="24"/>
                <w:szCs w:val="24"/>
              </w:rPr>
              <w:t xml:space="preserve">The NDB scheme was introduced in February 2018 and is one of the key changes to the </w:t>
            </w:r>
            <w:r>
              <w:rPr>
                <w:rFonts w:ascii="Calibri" w:eastAsia="Calibri" w:hAnsi="Calibri" w:cs="Times New Roman"/>
                <w:i/>
                <w:iCs/>
                <w:sz w:val="24"/>
                <w:szCs w:val="24"/>
              </w:rPr>
              <w:t xml:space="preserve">Privacy Act 1988 </w:t>
            </w:r>
            <w:r>
              <w:rPr>
                <w:rFonts w:ascii="Calibri" w:eastAsia="Calibri" w:hAnsi="Calibri" w:cs="Times New Roman"/>
                <w:sz w:val="24"/>
                <w:szCs w:val="24"/>
              </w:rPr>
              <w:t xml:space="preserve">in recent years. </w:t>
            </w:r>
            <w:r w:rsidRPr="00E325BD">
              <w:rPr>
                <w:rFonts w:ascii="Calibri" w:eastAsia="Calibri" w:hAnsi="Calibri" w:cs="Times New Roman"/>
                <w:sz w:val="24"/>
                <w:szCs w:val="24"/>
              </w:rPr>
              <w:t>Under the scheme, entities covered by the Privacy Act must notify affected individuals and the OAIC when they experience a data breach that is likely to result in serious harm to any individual whose personal information is involved.</w:t>
            </w:r>
          </w:p>
          <w:p w14:paraId="4DC43637" w14:textId="7B60BFC8" w:rsidR="00793B52" w:rsidRDefault="00793B52" w:rsidP="00E325BD">
            <w:pPr>
              <w:rPr>
                <w:rFonts w:ascii="Calibri" w:eastAsia="Calibri" w:hAnsi="Calibri" w:cs="Times New Roman"/>
                <w:sz w:val="24"/>
                <w:szCs w:val="24"/>
              </w:rPr>
            </w:pPr>
          </w:p>
          <w:p w14:paraId="27425C4B" w14:textId="09CE8521" w:rsidR="00793B52" w:rsidRDefault="00D01E6C" w:rsidP="00793B52">
            <w:pPr>
              <w:rPr>
                <w:rFonts w:ascii="Calibri" w:eastAsia="Calibri" w:hAnsi="Calibri" w:cs="Times New Roman"/>
                <w:sz w:val="24"/>
                <w:szCs w:val="24"/>
              </w:rPr>
            </w:pPr>
            <w:r>
              <w:rPr>
                <w:rFonts w:ascii="Calibri" w:eastAsia="Calibri" w:hAnsi="Calibri" w:cs="Times New Roman"/>
                <w:sz w:val="24"/>
                <w:szCs w:val="24"/>
              </w:rPr>
              <w:t xml:space="preserve">The OAIC publishes detailed statistics about notifications received every 6 months. </w:t>
            </w:r>
            <w:r w:rsidR="00CA586B">
              <w:rPr>
                <w:rFonts w:ascii="Calibri" w:eastAsia="Calibri" w:hAnsi="Calibri" w:cs="Times New Roman"/>
                <w:sz w:val="24"/>
                <w:szCs w:val="24"/>
              </w:rPr>
              <w:t xml:space="preserve">The reports include charts, commentary and comparisons to previous reporting periods and </w:t>
            </w:r>
            <w:r>
              <w:rPr>
                <w:rFonts w:ascii="Calibri" w:eastAsia="Calibri" w:hAnsi="Calibri" w:cs="Times New Roman"/>
                <w:sz w:val="24"/>
                <w:szCs w:val="24"/>
              </w:rPr>
              <w:t>draw out the:</w:t>
            </w:r>
          </w:p>
          <w:p w14:paraId="279FC676" w14:textId="583CE4FF" w:rsidR="00D01E6C" w:rsidRDefault="00D01E6C" w:rsidP="00D01E6C">
            <w:pPr>
              <w:pStyle w:val="Prrafodelista"/>
              <w:numPr>
                <w:ilvl w:val="0"/>
                <w:numId w:val="17"/>
              </w:numPr>
              <w:rPr>
                <w:rFonts w:ascii="Calibri" w:eastAsia="Calibri" w:hAnsi="Calibri" w:cs="Times New Roman"/>
                <w:sz w:val="24"/>
                <w:szCs w:val="24"/>
              </w:rPr>
            </w:pPr>
            <w:r>
              <w:rPr>
                <w:rFonts w:ascii="Calibri" w:eastAsia="Calibri" w:hAnsi="Calibri" w:cs="Times New Roman"/>
                <w:sz w:val="24"/>
                <w:szCs w:val="24"/>
              </w:rPr>
              <w:t xml:space="preserve">industry sectors that notify the most data breaches </w:t>
            </w:r>
          </w:p>
          <w:p w14:paraId="48F5D9DE" w14:textId="3329FAA8" w:rsidR="00D01E6C" w:rsidRDefault="00D01E6C" w:rsidP="00793B52">
            <w:pPr>
              <w:pStyle w:val="Prrafodelista"/>
              <w:numPr>
                <w:ilvl w:val="0"/>
                <w:numId w:val="17"/>
              </w:numPr>
              <w:rPr>
                <w:rFonts w:ascii="Calibri" w:eastAsia="Calibri" w:hAnsi="Calibri" w:cs="Times New Roman"/>
                <w:sz w:val="24"/>
                <w:szCs w:val="24"/>
              </w:rPr>
            </w:pPr>
            <w:r>
              <w:rPr>
                <w:rFonts w:ascii="Calibri" w:eastAsia="Calibri" w:hAnsi="Calibri" w:cs="Times New Roman"/>
                <w:sz w:val="24"/>
                <w:szCs w:val="24"/>
              </w:rPr>
              <w:t xml:space="preserve">sources of breaches </w:t>
            </w:r>
          </w:p>
          <w:p w14:paraId="6C9E9781" w14:textId="376720AD" w:rsidR="00D01E6C" w:rsidRDefault="00D01E6C" w:rsidP="00793B52">
            <w:pPr>
              <w:pStyle w:val="Prrafodelista"/>
              <w:numPr>
                <w:ilvl w:val="0"/>
                <w:numId w:val="17"/>
              </w:numPr>
              <w:rPr>
                <w:rFonts w:ascii="Calibri" w:eastAsia="Calibri" w:hAnsi="Calibri" w:cs="Times New Roman"/>
                <w:sz w:val="24"/>
                <w:szCs w:val="24"/>
              </w:rPr>
            </w:pPr>
            <w:r>
              <w:rPr>
                <w:rFonts w:ascii="Calibri" w:eastAsia="Calibri" w:hAnsi="Calibri" w:cs="Times New Roman"/>
                <w:sz w:val="24"/>
                <w:szCs w:val="24"/>
              </w:rPr>
              <w:t>number of affected individuals</w:t>
            </w:r>
          </w:p>
          <w:p w14:paraId="0A5D4E1D" w14:textId="5E9EE99E" w:rsidR="00D01E6C" w:rsidRDefault="00D01E6C" w:rsidP="00793B52">
            <w:pPr>
              <w:pStyle w:val="Prrafodelista"/>
              <w:numPr>
                <w:ilvl w:val="0"/>
                <w:numId w:val="17"/>
              </w:numPr>
              <w:rPr>
                <w:rFonts w:ascii="Calibri" w:eastAsia="Calibri" w:hAnsi="Calibri" w:cs="Times New Roman"/>
                <w:sz w:val="24"/>
                <w:szCs w:val="24"/>
              </w:rPr>
            </w:pPr>
            <w:r>
              <w:rPr>
                <w:rFonts w:ascii="Calibri" w:eastAsia="Calibri" w:hAnsi="Calibri" w:cs="Times New Roman"/>
                <w:sz w:val="24"/>
                <w:szCs w:val="24"/>
              </w:rPr>
              <w:t>kinds of personal information involved</w:t>
            </w:r>
          </w:p>
          <w:p w14:paraId="11754963" w14:textId="2EEB6033" w:rsidR="00D01E6C" w:rsidRDefault="00D01E6C" w:rsidP="00793B52">
            <w:pPr>
              <w:pStyle w:val="Prrafodelista"/>
              <w:numPr>
                <w:ilvl w:val="0"/>
                <w:numId w:val="17"/>
              </w:numPr>
              <w:rPr>
                <w:rFonts w:ascii="Calibri" w:eastAsia="Calibri" w:hAnsi="Calibri" w:cs="Times New Roman"/>
                <w:sz w:val="24"/>
                <w:szCs w:val="24"/>
              </w:rPr>
            </w:pPr>
            <w:r>
              <w:rPr>
                <w:rFonts w:ascii="Calibri" w:eastAsia="Calibri" w:hAnsi="Calibri" w:cs="Times New Roman"/>
                <w:sz w:val="24"/>
                <w:szCs w:val="24"/>
              </w:rPr>
              <w:t>time taken by entities to identify and notify breaches.</w:t>
            </w:r>
          </w:p>
          <w:p w14:paraId="321C1C4C" w14:textId="36D857BB" w:rsidR="00D01E6C" w:rsidRDefault="00D01E6C" w:rsidP="00D01E6C">
            <w:pPr>
              <w:rPr>
                <w:rFonts w:ascii="Calibri" w:eastAsia="Calibri" w:hAnsi="Calibri" w:cs="Times New Roman"/>
                <w:sz w:val="24"/>
                <w:szCs w:val="24"/>
              </w:rPr>
            </w:pPr>
          </w:p>
          <w:p w14:paraId="24AA614D" w14:textId="7FED7986" w:rsidR="00D01E6C" w:rsidRDefault="00DE3507" w:rsidP="00D01E6C">
            <w:pPr>
              <w:rPr>
                <w:rFonts w:ascii="Calibri" w:eastAsia="Calibri" w:hAnsi="Calibri" w:cs="Times New Roman"/>
                <w:sz w:val="24"/>
                <w:szCs w:val="24"/>
              </w:rPr>
            </w:pPr>
            <w:r>
              <w:rPr>
                <w:rFonts w:ascii="Calibri" w:eastAsia="Calibri" w:hAnsi="Calibri" w:cs="Times New Roman"/>
                <w:sz w:val="24"/>
                <w:szCs w:val="24"/>
              </w:rPr>
              <w:t xml:space="preserve">Reports </w:t>
            </w:r>
            <w:r w:rsidR="00D01E6C">
              <w:rPr>
                <w:rFonts w:ascii="Calibri" w:eastAsia="Calibri" w:hAnsi="Calibri" w:cs="Times New Roman"/>
                <w:sz w:val="24"/>
                <w:szCs w:val="24"/>
              </w:rPr>
              <w:t>include case studies on areas for improved practice, data breach response best practices and illustrative scenarios.</w:t>
            </w:r>
            <w:r w:rsidR="00CA586B">
              <w:rPr>
                <w:rFonts w:ascii="Calibri" w:eastAsia="Calibri" w:hAnsi="Calibri" w:cs="Times New Roman"/>
                <w:sz w:val="24"/>
                <w:szCs w:val="24"/>
              </w:rPr>
              <w:t xml:space="preserve"> Reports are provided as a PDF and in HTML for accessibility purposes. See the most recent report: </w:t>
            </w:r>
            <w:hyperlink r:id="rId16" w:history="1">
              <w:r w:rsidR="00CA586B" w:rsidRPr="00CA586B">
                <w:rPr>
                  <w:rStyle w:val="Hipervnculo"/>
                  <w:rFonts w:ascii="Calibri" w:eastAsia="Calibri" w:hAnsi="Calibri" w:cs="Times New Roman"/>
                  <w:sz w:val="24"/>
                  <w:szCs w:val="24"/>
                </w:rPr>
                <w:t>Notifiable Data Breaches Report: July–December 2021</w:t>
              </w:r>
            </w:hyperlink>
            <w:r w:rsidR="00CA586B">
              <w:rPr>
                <w:rFonts w:ascii="Calibri" w:eastAsia="Calibri" w:hAnsi="Calibri" w:cs="Times New Roman"/>
                <w:sz w:val="24"/>
                <w:szCs w:val="24"/>
              </w:rPr>
              <w:t>.</w:t>
            </w:r>
          </w:p>
          <w:p w14:paraId="6D1F4318" w14:textId="635DEB80" w:rsidR="00CA586B" w:rsidRDefault="00CA586B" w:rsidP="00D01E6C">
            <w:pPr>
              <w:rPr>
                <w:rFonts w:ascii="Calibri" w:eastAsia="Calibri" w:hAnsi="Calibri" w:cs="Times New Roman"/>
                <w:sz w:val="24"/>
                <w:szCs w:val="24"/>
              </w:rPr>
            </w:pPr>
          </w:p>
          <w:p w14:paraId="25206A0A" w14:textId="4FBCF1EA" w:rsidR="00CA586B" w:rsidRDefault="00CA586B" w:rsidP="00D01E6C">
            <w:pPr>
              <w:rPr>
                <w:rFonts w:ascii="Calibri" w:eastAsia="Calibri" w:hAnsi="Calibri" w:cs="Times New Roman"/>
                <w:sz w:val="24"/>
                <w:szCs w:val="24"/>
              </w:rPr>
            </w:pPr>
            <w:r>
              <w:rPr>
                <w:rFonts w:ascii="Calibri" w:eastAsia="Calibri" w:hAnsi="Calibri" w:cs="Times New Roman"/>
                <w:sz w:val="24"/>
                <w:szCs w:val="24"/>
              </w:rPr>
              <w:t>As the key external communications vehicle for the NDB</w:t>
            </w:r>
            <w:r w:rsidR="00D55B41">
              <w:rPr>
                <w:rFonts w:ascii="Calibri" w:eastAsia="Calibri" w:hAnsi="Calibri" w:cs="Times New Roman"/>
                <w:sz w:val="24"/>
                <w:szCs w:val="24"/>
              </w:rPr>
              <w:t xml:space="preserve"> scheme, a robust communication strategy supports the launch of each report and generally comprises: </w:t>
            </w:r>
          </w:p>
          <w:p w14:paraId="1E997467" w14:textId="78F2A6A1" w:rsidR="00D55B41" w:rsidRDefault="00D55B41" w:rsidP="00D55B41">
            <w:pPr>
              <w:pStyle w:val="Prrafodelista"/>
              <w:numPr>
                <w:ilvl w:val="0"/>
                <w:numId w:val="18"/>
              </w:numPr>
              <w:rPr>
                <w:rFonts w:ascii="Calibri" w:eastAsia="Calibri" w:hAnsi="Calibri" w:cs="Times New Roman"/>
                <w:sz w:val="24"/>
                <w:szCs w:val="24"/>
              </w:rPr>
            </w:pPr>
            <w:r>
              <w:rPr>
                <w:rFonts w:ascii="Calibri" w:eastAsia="Calibri" w:hAnsi="Calibri" w:cs="Times New Roman"/>
                <w:sz w:val="24"/>
                <w:szCs w:val="24"/>
              </w:rPr>
              <w:t xml:space="preserve">a </w:t>
            </w:r>
            <w:hyperlink r:id="rId17" w:history="1">
              <w:r w:rsidRPr="002A3D66">
                <w:rPr>
                  <w:rStyle w:val="Hipervnculo"/>
                  <w:rFonts w:ascii="Calibri" w:eastAsia="Calibri" w:hAnsi="Calibri" w:cs="Times New Roman"/>
                  <w:sz w:val="24"/>
                  <w:szCs w:val="24"/>
                </w:rPr>
                <w:t>media release</w:t>
              </w:r>
            </w:hyperlink>
            <w:r>
              <w:rPr>
                <w:rFonts w:ascii="Calibri" w:eastAsia="Calibri" w:hAnsi="Calibri" w:cs="Times New Roman"/>
                <w:sz w:val="24"/>
                <w:szCs w:val="24"/>
              </w:rPr>
              <w:t xml:space="preserve"> with key messages</w:t>
            </w:r>
            <w:r w:rsidR="002A3D66">
              <w:rPr>
                <w:rFonts w:ascii="Calibri" w:eastAsia="Calibri" w:hAnsi="Calibri" w:cs="Times New Roman"/>
                <w:sz w:val="24"/>
                <w:szCs w:val="24"/>
              </w:rPr>
              <w:t xml:space="preserve"> for entities </w:t>
            </w:r>
            <w:r>
              <w:rPr>
                <w:rFonts w:ascii="Calibri" w:eastAsia="Calibri" w:hAnsi="Calibri" w:cs="Times New Roman"/>
                <w:sz w:val="24"/>
                <w:szCs w:val="24"/>
              </w:rPr>
              <w:t xml:space="preserve"> </w:t>
            </w:r>
          </w:p>
          <w:p w14:paraId="65C8818F" w14:textId="00CC0147" w:rsidR="00D55B41" w:rsidRDefault="00D55B41" w:rsidP="00D55B41">
            <w:pPr>
              <w:pStyle w:val="Prrafodelista"/>
              <w:numPr>
                <w:ilvl w:val="0"/>
                <w:numId w:val="18"/>
              </w:numPr>
              <w:rPr>
                <w:rFonts w:ascii="Calibri" w:eastAsia="Calibri" w:hAnsi="Calibri" w:cs="Times New Roman"/>
                <w:sz w:val="24"/>
                <w:szCs w:val="24"/>
              </w:rPr>
            </w:pPr>
            <w:r>
              <w:rPr>
                <w:rFonts w:ascii="Calibri" w:eastAsia="Calibri" w:hAnsi="Calibri" w:cs="Times New Roman"/>
                <w:sz w:val="24"/>
                <w:szCs w:val="24"/>
              </w:rPr>
              <w:t xml:space="preserve">engagement with key government stakeholders and industry associations through the provision of briefings, talking points and sample content </w:t>
            </w:r>
          </w:p>
          <w:p w14:paraId="2B47703A" w14:textId="6326A69A" w:rsidR="00D55B41" w:rsidRDefault="00D55B41" w:rsidP="00D55B41">
            <w:pPr>
              <w:pStyle w:val="Prrafodelista"/>
              <w:numPr>
                <w:ilvl w:val="0"/>
                <w:numId w:val="18"/>
              </w:numPr>
              <w:rPr>
                <w:rFonts w:ascii="Calibri" w:eastAsia="Calibri" w:hAnsi="Calibri" w:cs="Times New Roman"/>
                <w:sz w:val="24"/>
                <w:szCs w:val="24"/>
              </w:rPr>
            </w:pPr>
            <w:r>
              <w:rPr>
                <w:rFonts w:ascii="Calibri" w:eastAsia="Calibri" w:hAnsi="Calibri" w:cs="Times New Roman"/>
                <w:sz w:val="24"/>
                <w:szCs w:val="24"/>
              </w:rPr>
              <w:t xml:space="preserve">a social media campaign targeted at both regulated entities and the public </w:t>
            </w:r>
          </w:p>
          <w:p w14:paraId="5A511785" w14:textId="0FEF5751" w:rsidR="00D55B41" w:rsidRPr="00D55B41" w:rsidRDefault="00D55B41" w:rsidP="00D55B41">
            <w:pPr>
              <w:pStyle w:val="Prrafodelista"/>
              <w:numPr>
                <w:ilvl w:val="0"/>
                <w:numId w:val="18"/>
              </w:numPr>
              <w:rPr>
                <w:rFonts w:ascii="Calibri" w:eastAsia="Calibri" w:hAnsi="Calibri" w:cs="Times New Roman"/>
                <w:sz w:val="24"/>
                <w:szCs w:val="24"/>
              </w:rPr>
            </w:pPr>
            <w:r>
              <w:rPr>
                <w:rFonts w:ascii="Calibri" w:eastAsia="Calibri" w:hAnsi="Calibri" w:cs="Times New Roman"/>
                <w:sz w:val="24"/>
                <w:szCs w:val="24"/>
              </w:rPr>
              <w:t xml:space="preserve">presentations on trends, </w:t>
            </w:r>
            <w:proofErr w:type="gramStart"/>
            <w:r>
              <w:rPr>
                <w:rFonts w:ascii="Calibri" w:eastAsia="Calibri" w:hAnsi="Calibri" w:cs="Times New Roman"/>
                <w:sz w:val="24"/>
                <w:szCs w:val="24"/>
              </w:rPr>
              <w:t>insights</w:t>
            </w:r>
            <w:proofErr w:type="gramEnd"/>
            <w:r>
              <w:rPr>
                <w:rFonts w:ascii="Calibri" w:eastAsia="Calibri" w:hAnsi="Calibri" w:cs="Times New Roman"/>
                <w:sz w:val="24"/>
                <w:szCs w:val="24"/>
              </w:rPr>
              <w:t xml:space="preserve"> and emerging themes. </w:t>
            </w:r>
          </w:p>
          <w:p w14:paraId="3D8DD7DA" w14:textId="28438DF7" w:rsidR="00D01E6C" w:rsidRDefault="00D01E6C" w:rsidP="00793B52">
            <w:pPr>
              <w:rPr>
                <w:rFonts w:ascii="Calibri" w:eastAsia="Calibri" w:hAnsi="Calibri" w:cs="Times New Roman"/>
                <w:sz w:val="24"/>
                <w:szCs w:val="24"/>
              </w:rPr>
            </w:pPr>
          </w:p>
          <w:p w14:paraId="51C401E0" w14:textId="03A100FC" w:rsidR="002A3D66" w:rsidRDefault="00D55B41" w:rsidP="00D55B41">
            <w:pPr>
              <w:rPr>
                <w:rFonts w:ascii="Calibri" w:eastAsia="Calibri" w:hAnsi="Calibri" w:cs="Times New Roman"/>
                <w:sz w:val="24"/>
                <w:szCs w:val="24"/>
              </w:rPr>
            </w:pPr>
            <w:r>
              <w:rPr>
                <w:rFonts w:ascii="Calibri" w:eastAsia="Calibri" w:hAnsi="Calibri" w:cs="Times New Roman"/>
                <w:sz w:val="24"/>
                <w:szCs w:val="24"/>
              </w:rPr>
              <w:t xml:space="preserve">Additionally, the </w:t>
            </w:r>
            <w:r w:rsidRPr="00D55B41">
              <w:rPr>
                <w:rFonts w:ascii="Calibri" w:eastAsia="Calibri" w:hAnsi="Calibri" w:cs="Times New Roman"/>
                <w:sz w:val="24"/>
                <w:szCs w:val="24"/>
              </w:rPr>
              <w:t xml:space="preserve">OAIC provides detailed </w:t>
            </w:r>
            <w:hyperlink r:id="rId18" w:history="1">
              <w:r w:rsidR="002A3D66" w:rsidRPr="002A3D66">
                <w:rPr>
                  <w:rStyle w:val="Hipervnculo"/>
                  <w:rFonts w:ascii="Calibri" w:eastAsia="Calibri" w:hAnsi="Calibri" w:cs="Times New Roman"/>
                  <w:sz w:val="24"/>
                  <w:szCs w:val="24"/>
                </w:rPr>
                <w:t xml:space="preserve">guidance and </w:t>
              </w:r>
              <w:r w:rsidRPr="002A3D66">
                <w:rPr>
                  <w:rStyle w:val="Hipervnculo"/>
                  <w:rFonts w:ascii="Calibri" w:eastAsia="Calibri" w:hAnsi="Calibri" w:cs="Times New Roman"/>
                  <w:sz w:val="24"/>
                  <w:szCs w:val="24"/>
                </w:rPr>
                <w:t>advice for regulated entities</w:t>
              </w:r>
            </w:hyperlink>
            <w:r w:rsidRPr="00D55B41">
              <w:rPr>
                <w:rFonts w:ascii="Calibri" w:eastAsia="Calibri" w:hAnsi="Calibri" w:cs="Times New Roman"/>
                <w:sz w:val="24"/>
                <w:szCs w:val="24"/>
              </w:rPr>
              <w:t xml:space="preserve"> on their obligations under the NDB scheme and how to prevent and respond to data breaches. We also provide </w:t>
            </w:r>
            <w:hyperlink r:id="rId19" w:history="1">
              <w:r w:rsidRPr="002A3D66">
                <w:rPr>
                  <w:rStyle w:val="Hipervnculo"/>
                  <w:rFonts w:ascii="Calibri" w:eastAsia="Calibri" w:hAnsi="Calibri" w:cs="Times New Roman"/>
                  <w:sz w:val="24"/>
                  <w:szCs w:val="24"/>
                </w:rPr>
                <w:t>advice for individuals</w:t>
              </w:r>
            </w:hyperlink>
            <w:r w:rsidRPr="00D55B41">
              <w:rPr>
                <w:rFonts w:ascii="Calibri" w:eastAsia="Calibri" w:hAnsi="Calibri" w:cs="Times New Roman"/>
                <w:sz w:val="24"/>
                <w:szCs w:val="24"/>
              </w:rPr>
              <w:t xml:space="preserve"> about </w:t>
            </w:r>
            <w:r w:rsidR="002A3D66">
              <w:rPr>
                <w:rFonts w:ascii="Calibri" w:eastAsia="Calibri" w:hAnsi="Calibri" w:cs="Times New Roman"/>
                <w:sz w:val="24"/>
                <w:szCs w:val="24"/>
              </w:rPr>
              <w:t>responding to data breach notifications</w:t>
            </w:r>
            <w:r w:rsidRPr="00D55B41">
              <w:rPr>
                <w:rFonts w:ascii="Calibri" w:eastAsia="Calibri" w:hAnsi="Calibri" w:cs="Times New Roman"/>
                <w:sz w:val="24"/>
                <w:szCs w:val="24"/>
              </w:rPr>
              <w:t>.</w:t>
            </w:r>
            <w:r>
              <w:rPr>
                <w:rFonts w:ascii="Calibri" w:eastAsia="Calibri" w:hAnsi="Calibri" w:cs="Times New Roman"/>
                <w:sz w:val="24"/>
                <w:szCs w:val="24"/>
              </w:rPr>
              <w:t xml:space="preserve"> </w:t>
            </w:r>
            <w:r w:rsidR="002A3D66">
              <w:rPr>
                <w:rFonts w:ascii="Calibri" w:eastAsia="Calibri" w:hAnsi="Calibri" w:cs="Times New Roman"/>
                <w:sz w:val="24"/>
                <w:szCs w:val="24"/>
              </w:rPr>
              <w:t xml:space="preserve">In 2021, we launched 2 new resources for individuals: </w:t>
            </w:r>
          </w:p>
          <w:p w14:paraId="1B57A6D4" w14:textId="106D57C2" w:rsidR="002A3D66" w:rsidRDefault="00E6628E" w:rsidP="002A3D66">
            <w:pPr>
              <w:pStyle w:val="Prrafodelista"/>
              <w:numPr>
                <w:ilvl w:val="0"/>
                <w:numId w:val="19"/>
              </w:numPr>
              <w:rPr>
                <w:rFonts w:ascii="Calibri" w:eastAsia="Calibri" w:hAnsi="Calibri" w:cs="Times New Roman"/>
                <w:sz w:val="24"/>
                <w:szCs w:val="24"/>
              </w:rPr>
            </w:pPr>
            <w:hyperlink r:id="rId20" w:history="1">
              <w:r w:rsidR="002A3D66" w:rsidRPr="002A3D66">
                <w:rPr>
                  <w:rStyle w:val="Hipervnculo"/>
                  <w:rFonts w:ascii="Calibri" w:eastAsia="Calibri" w:hAnsi="Calibri" w:cs="Times New Roman"/>
                  <w:sz w:val="24"/>
                  <w:szCs w:val="24"/>
                </w:rPr>
                <w:t>Act quickly if you are affected by a data breach</w:t>
              </w:r>
            </w:hyperlink>
            <w:r w:rsidR="002A3D66">
              <w:rPr>
                <w:rFonts w:ascii="Calibri" w:eastAsia="Calibri" w:hAnsi="Calibri" w:cs="Times New Roman"/>
                <w:sz w:val="24"/>
                <w:szCs w:val="24"/>
              </w:rPr>
              <w:t xml:space="preserve"> poster</w:t>
            </w:r>
          </w:p>
          <w:p w14:paraId="438195DB" w14:textId="50631171" w:rsidR="00D55B41" w:rsidRPr="002A3D66" w:rsidRDefault="00E6628E" w:rsidP="002A3D66">
            <w:pPr>
              <w:pStyle w:val="Prrafodelista"/>
              <w:numPr>
                <w:ilvl w:val="0"/>
                <w:numId w:val="19"/>
              </w:numPr>
              <w:rPr>
                <w:rFonts w:ascii="Calibri" w:eastAsia="Calibri" w:hAnsi="Calibri" w:cs="Times New Roman"/>
                <w:sz w:val="24"/>
                <w:szCs w:val="24"/>
              </w:rPr>
            </w:pPr>
            <w:hyperlink r:id="rId21" w:history="1">
              <w:r w:rsidR="00D55B41" w:rsidRPr="002A3D66">
                <w:rPr>
                  <w:rStyle w:val="Hipervnculo"/>
                  <w:rFonts w:ascii="Calibri" w:eastAsia="Calibri" w:hAnsi="Calibri" w:cs="Times New Roman"/>
                  <w:sz w:val="24"/>
                  <w:szCs w:val="24"/>
                </w:rPr>
                <w:t>Easy English resource</w:t>
              </w:r>
            </w:hyperlink>
            <w:r w:rsidR="00D55B41" w:rsidRPr="002A3D66">
              <w:rPr>
                <w:rFonts w:ascii="Calibri" w:eastAsia="Calibri" w:hAnsi="Calibri" w:cs="Times New Roman"/>
                <w:sz w:val="24"/>
                <w:szCs w:val="24"/>
              </w:rPr>
              <w:t xml:space="preserve"> on what to do if there is a data breach. </w:t>
            </w:r>
          </w:p>
          <w:p w14:paraId="0CBD3C95" w14:textId="0EC6915C" w:rsidR="00D55B41" w:rsidRDefault="00D55B41" w:rsidP="00793B52">
            <w:pPr>
              <w:rPr>
                <w:rFonts w:ascii="Calibri" w:eastAsia="Calibri" w:hAnsi="Calibri" w:cs="Times New Roman"/>
                <w:sz w:val="24"/>
                <w:szCs w:val="24"/>
              </w:rPr>
            </w:pPr>
          </w:p>
          <w:p w14:paraId="72C32579" w14:textId="445A0CE3" w:rsidR="00D55B41" w:rsidRDefault="002A3D66" w:rsidP="00793B52">
            <w:pPr>
              <w:rPr>
                <w:rFonts w:ascii="Calibri" w:eastAsia="Calibri" w:hAnsi="Calibri" w:cs="Times New Roman"/>
                <w:sz w:val="24"/>
                <w:szCs w:val="24"/>
              </w:rPr>
            </w:pPr>
            <w:r>
              <w:rPr>
                <w:rFonts w:ascii="Calibri" w:eastAsia="Calibri" w:hAnsi="Calibri" w:cs="Times New Roman"/>
                <w:sz w:val="24"/>
                <w:szCs w:val="24"/>
              </w:rPr>
              <w:t xml:space="preserve">These education and awareness activities support the NDB scheme to achieve its objectives, which </w:t>
            </w:r>
            <w:r w:rsidR="00DE3507">
              <w:rPr>
                <w:rFonts w:ascii="Calibri" w:eastAsia="Calibri" w:hAnsi="Calibri" w:cs="Times New Roman"/>
                <w:sz w:val="24"/>
                <w:szCs w:val="24"/>
              </w:rPr>
              <w:t>are to</w:t>
            </w:r>
            <w:r>
              <w:rPr>
                <w:rFonts w:ascii="Calibri" w:eastAsia="Calibri" w:hAnsi="Calibri" w:cs="Times New Roman"/>
                <w:sz w:val="24"/>
                <w:szCs w:val="24"/>
              </w:rPr>
              <w:t xml:space="preserve">: </w:t>
            </w:r>
          </w:p>
          <w:p w14:paraId="7FCD7813" w14:textId="07B51ACD" w:rsidR="00D55B41" w:rsidRPr="002A3D66" w:rsidRDefault="00D55B41" w:rsidP="002A3D66">
            <w:pPr>
              <w:pStyle w:val="Prrafodelista"/>
              <w:numPr>
                <w:ilvl w:val="0"/>
                <w:numId w:val="18"/>
              </w:numPr>
              <w:rPr>
                <w:rFonts w:ascii="Calibri" w:eastAsia="Calibri" w:hAnsi="Calibri" w:cs="Times New Roman"/>
                <w:sz w:val="24"/>
                <w:szCs w:val="24"/>
              </w:rPr>
            </w:pPr>
            <w:r w:rsidRPr="002A3D66">
              <w:rPr>
                <w:rFonts w:ascii="Calibri" w:eastAsia="Calibri" w:hAnsi="Calibri" w:cs="Times New Roman"/>
                <w:sz w:val="24"/>
                <w:szCs w:val="24"/>
              </w:rPr>
              <w:t>provid</w:t>
            </w:r>
            <w:r w:rsidR="00DE3507">
              <w:rPr>
                <w:rFonts w:ascii="Calibri" w:eastAsia="Calibri" w:hAnsi="Calibri" w:cs="Times New Roman"/>
                <w:sz w:val="24"/>
                <w:szCs w:val="24"/>
              </w:rPr>
              <w:t>e</w:t>
            </w:r>
            <w:r w:rsidR="002A3D66">
              <w:rPr>
                <w:rFonts w:ascii="Calibri" w:eastAsia="Calibri" w:hAnsi="Calibri" w:cs="Times New Roman"/>
                <w:sz w:val="24"/>
                <w:szCs w:val="24"/>
              </w:rPr>
              <w:t xml:space="preserve"> a safer and more transparent environment for </w:t>
            </w:r>
            <w:r w:rsidR="003642C7">
              <w:rPr>
                <w:rFonts w:ascii="Calibri" w:eastAsia="Calibri" w:hAnsi="Calibri" w:cs="Times New Roman"/>
                <w:sz w:val="24"/>
                <w:szCs w:val="24"/>
              </w:rPr>
              <w:t>individuals</w:t>
            </w:r>
          </w:p>
          <w:p w14:paraId="08847B99" w14:textId="2FBE9428" w:rsidR="00D55B41" w:rsidRPr="002A3D66" w:rsidRDefault="00D55B41" w:rsidP="002A3D66">
            <w:pPr>
              <w:pStyle w:val="Prrafodelista"/>
              <w:numPr>
                <w:ilvl w:val="0"/>
                <w:numId w:val="18"/>
              </w:numPr>
              <w:rPr>
                <w:rFonts w:ascii="Calibri" w:eastAsia="Calibri" w:hAnsi="Calibri" w:cs="Times New Roman"/>
                <w:sz w:val="24"/>
                <w:szCs w:val="24"/>
              </w:rPr>
            </w:pPr>
            <w:r w:rsidRPr="002A3D66">
              <w:rPr>
                <w:rFonts w:ascii="Calibri" w:eastAsia="Calibri" w:hAnsi="Calibri" w:cs="Times New Roman"/>
                <w:sz w:val="24"/>
                <w:szCs w:val="24"/>
              </w:rPr>
              <w:t>improv</w:t>
            </w:r>
            <w:r w:rsidR="00DE3507">
              <w:rPr>
                <w:rFonts w:ascii="Calibri" w:eastAsia="Calibri" w:hAnsi="Calibri" w:cs="Times New Roman"/>
                <w:sz w:val="24"/>
                <w:szCs w:val="24"/>
              </w:rPr>
              <w:t>e</w:t>
            </w:r>
            <w:r w:rsidRPr="002A3D66">
              <w:rPr>
                <w:rFonts w:ascii="Calibri" w:eastAsia="Calibri" w:hAnsi="Calibri" w:cs="Times New Roman"/>
                <w:sz w:val="24"/>
                <w:szCs w:val="24"/>
              </w:rPr>
              <w:t xml:space="preserve"> compliance with privacy </w:t>
            </w:r>
            <w:r w:rsidR="00DE3507">
              <w:rPr>
                <w:rFonts w:ascii="Calibri" w:eastAsia="Calibri" w:hAnsi="Calibri" w:cs="Times New Roman"/>
                <w:sz w:val="24"/>
                <w:szCs w:val="24"/>
              </w:rPr>
              <w:t>obligations</w:t>
            </w:r>
          </w:p>
          <w:p w14:paraId="5D865873" w14:textId="4155DF3D" w:rsidR="00D55B41" w:rsidRPr="002A3D66" w:rsidRDefault="00D55B41" w:rsidP="002A3D66">
            <w:pPr>
              <w:pStyle w:val="Prrafodelista"/>
              <w:numPr>
                <w:ilvl w:val="0"/>
                <w:numId w:val="18"/>
              </w:numPr>
              <w:rPr>
                <w:rFonts w:ascii="Calibri" w:eastAsia="Calibri" w:hAnsi="Calibri" w:cs="Times New Roman"/>
                <w:sz w:val="24"/>
                <w:szCs w:val="24"/>
              </w:rPr>
            </w:pPr>
            <w:r w:rsidRPr="002A3D66">
              <w:rPr>
                <w:rFonts w:ascii="Calibri" w:eastAsia="Calibri" w:hAnsi="Calibri" w:cs="Times New Roman"/>
                <w:sz w:val="24"/>
                <w:szCs w:val="24"/>
              </w:rPr>
              <w:t>provid</w:t>
            </w:r>
            <w:r w:rsidR="00DE3507">
              <w:rPr>
                <w:rFonts w:ascii="Calibri" w:eastAsia="Calibri" w:hAnsi="Calibri" w:cs="Times New Roman"/>
                <w:sz w:val="24"/>
                <w:szCs w:val="24"/>
              </w:rPr>
              <w:t>e entities with a framework for</w:t>
            </w:r>
            <w:r w:rsidRPr="002A3D66">
              <w:rPr>
                <w:rFonts w:ascii="Calibri" w:eastAsia="Calibri" w:hAnsi="Calibri" w:cs="Times New Roman"/>
                <w:sz w:val="24"/>
                <w:szCs w:val="24"/>
              </w:rPr>
              <w:t xml:space="preserve"> responding to data breaches</w:t>
            </w:r>
          </w:p>
          <w:p w14:paraId="3309702A" w14:textId="7824D1BC" w:rsidR="003E4D70" w:rsidRDefault="00DE3507" w:rsidP="002A3D66">
            <w:pPr>
              <w:pStyle w:val="Prrafodelista"/>
              <w:numPr>
                <w:ilvl w:val="0"/>
                <w:numId w:val="18"/>
              </w:numPr>
              <w:rPr>
                <w:rFonts w:ascii="Calibri" w:eastAsia="Calibri" w:hAnsi="Calibri" w:cs="Times New Roman"/>
                <w:sz w:val="24"/>
                <w:szCs w:val="24"/>
              </w:rPr>
            </w:pPr>
            <w:r>
              <w:rPr>
                <w:rFonts w:ascii="Calibri" w:eastAsia="Calibri" w:hAnsi="Calibri" w:cs="Times New Roman"/>
                <w:sz w:val="24"/>
                <w:szCs w:val="24"/>
              </w:rPr>
              <w:t>provide an evidence base to inform government policy and industry practice.</w:t>
            </w:r>
          </w:p>
          <w:p w14:paraId="10282A6C" w14:textId="361789B8" w:rsidR="002A3D66" w:rsidRPr="002A3D66" w:rsidRDefault="002A3D66" w:rsidP="002A3D66">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999224B" w:rsidR="00DD6623" w:rsidRDefault="00DD6623" w:rsidP="00DD6623">
            <w:pPr>
              <w:rPr>
                <w:rFonts w:ascii="Calibri" w:eastAsia="Calibri" w:hAnsi="Calibri" w:cs="Times New Roman"/>
                <w:sz w:val="24"/>
                <w:szCs w:val="24"/>
              </w:rPr>
            </w:pPr>
          </w:p>
          <w:p w14:paraId="35782B27" w14:textId="70FC2129" w:rsidR="00EE0CD3" w:rsidRDefault="00EE0CD3" w:rsidP="00EE0CD3">
            <w:pPr>
              <w:rPr>
                <w:rFonts w:ascii="Calibri" w:eastAsia="Calibri" w:hAnsi="Calibri" w:cs="Times New Roman"/>
                <w:sz w:val="24"/>
                <w:szCs w:val="24"/>
              </w:rPr>
            </w:pPr>
            <w:r>
              <w:rPr>
                <w:rFonts w:ascii="Calibri" w:eastAsia="Calibri" w:hAnsi="Calibri" w:cs="Times New Roman"/>
                <w:sz w:val="24"/>
                <w:szCs w:val="24"/>
              </w:rPr>
              <w:t xml:space="preserve">The OAIC’s NDB reports and supporting </w:t>
            </w:r>
            <w:r w:rsidR="00A7039F">
              <w:rPr>
                <w:rFonts w:ascii="Calibri" w:eastAsia="Calibri" w:hAnsi="Calibri" w:cs="Times New Roman"/>
                <w:sz w:val="24"/>
                <w:szCs w:val="24"/>
              </w:rPr>
              <w:t>communication</w:t>
            </w:r>
            <w:r>
              <w:rPr>
                <w:rFonts w:ascii="Calibri" w:eastAsia="Calibri" w:hAnsi="Calibri" w:cs="Times New Roman"/>
                <w:sz w:val="24"/>
                <w:szCs w:val="24"/>
              </w:rPr>
              <w:t xml:space="preserve"> activities are key to the scheme achieving its central objective, which is to protect individuals. The reports help</w:t>
            </w:r>
            <w:r w:rsidRPr="00EE0CD3">
              <w:rPr>
                <w:rFonts w:ascii="Calibri" w:eastAsia="Calibri" w:hAnsi="Calibri" w:cs="Times New Roman"/>
                <w:sz w:val="24"/>
                <w:szCs w:val="24"/>
              </w:rPr>
              <w:t xml:space="preserve"> entities and the public understand</w:t>
            </w:r>
            <w:r>
              <w:rPr>
                <w:rFonts w:ascii="Calibri" w:eastAsia="Calibri" w:hAnsi="Calibri" w:cs="Times New Roman"/>
                <w:sz w:val="24"/>
                <w:szCs w:val="24"/>
              </w:rPr>
              <w:t xml:space="preserve"> </w:t>
            </w:r>
            <w:r w:rsidR="00A26D51">
              <w:rPr>
                <w:rFonts w:ascii="Calibri" w:eastAsia="Calibri" w:hAnsi="Calibri" w:cs="Times New Roman"/>
                <w:sz w:val="24"/>
                <w:szCs w:val="24"/>
              </w:rPr>
              <w:t xml:space="preserve">privacy risks identified through the </w:t>
            </w:r>
            <w:r w:rsidRPr="00EE0CD3">
              <w:rPr>
                <w:rFonts w:ascii="Calibri" w:eastAsia="Calibri" w:hAnsi="Calibri" w:cs="Times New Roman"/>
                <w:sz w:val="24"/>
                <w:szCs w:val="24"/>
              </w:rPr>
              <w:t xml:space="preserve">scheme and </w:t>
            </w:r>
            <w:r w:rsidR="00925BD2">
              <w:rPr>
                <w:rFonts w:ascii="Calibri" w:eastAsia="Calibri" w:hAnsi="Calibri" w:cs="Times New Roman"/>
                <w:sz w:val="24"/>
                <w:szCs w:val="24"/>
              </w:rPr>
              <w:t xml:space="preserve">enable the OAIC to communicate </w:t>
            </w:r>
            <w:r w:rsidR="00A26D51">
              <w:rPr>
                <w:rFonts w:ascii="Calibri" w:eastAsia="Calibri" w:hAnsi="Calibri" w:cs="Times New Roman"/>
                <w:sz w:val="24"/>
                <w:szCs w:val="24"/>
              </w:rPr>
              <w:t xml:space="preserve">trends and emerging risks </w:t>
            </w:r>
            <w:r w:rsidR="00925BD2">
              <w:rPr>
                <w:rFonts w:ascii="Calibri" w:eastAsia="Calibri" w:hAnsi="Calibri" w:cs="Times New Roman"/>
                <w:sz w:val="24"/>
                <w:szCs w:val="24"/>
              </w:rPr>
              <w:t>(</w:t>
            </w:r>
            <w:r w:rsidR="00872A9A">
              <w:rPr>
                <w:rFonts w:ascii="Calibri" w:eastAsia="Calibri" w:hAnsi="Calibri" w:cs="Times New Roman"/>
                <w:sz w:val="24"/>
                <w:szCs w:val="24"/>
              </w:rPr>
              <w:t>without publicising the details of specific incidents</w:t>
            </w:r>
            <w:r w:rsidR="00925BD2">
              <w:rPr>
                <w:rFonts w:ascii="Calibri" w:eastAsia="Calibri" w:hAnsi="Calibri" w:cs="Times New Roman"/>
                <w:sz w:val="24"/>
                <w:szCs w:val="24"/>
              </w:rPr>
              <w:t>)</w:t>
            </w:r>
            <w:r w:rsidR="00872A9A">
              <w:rPr>
                <w:rFonts w:ascii="Calibri" w:eastAsia="Calibri" w:hAnsi="Calibri" w:cs="Times New Roman"/>
                <w:sz w:val="24"/>
                <w:szCs w:val="24"/>
              </w:rPr>
              <w:t>.</w:t>
            </w:r>
            <w:r>
              <w:rPr>
                <w:rFonts w:ascii="Calibri" w:eastAsia="Calibri" w:hAnsi="Calibri" w:cs="Times New Roman"/>
                <w:sz w:val="24"/>
                <w:szCs w:val="24"/>
              </w:rPr>
              <w:t xml:space="preserve"> </w:t>
            </w:r>
            <w:r w:rsidR="00A7039F">
              <w:rPr>
                <w:rFonts w:ascii="Calibri" w:eastAsia="Calibri" w:hAnsi="Calibri" w:cs="Times New Roman"/>
                <w:sz w:val="24"/>
                <w:szCs w:val="24"/>
              </w:rPr>
              <w:t xml:space="preserve">Generally, the OAIC is seeing entities engage with the scheme and take steps to remedy breaches and mitigate harm to individuals. </w:t>
            </w:r>
          </w:p>
          <w:p w14:paraId="06E892B6" w14:textId="23510DEF" w:rsidR="00EE0CD3" w:rsidRDefault="00EE0CD3" w:rsidP="00EE0CD3">
            <w:pPr>
              <w:rPr>
                <w:rFonts w:ascii="Calibri" w:eastAsia="Calibri" w:hAnsi="Calibri" w:cs="Times New Roman"/>
                <w:sz w:val="24"/>
                <w:szCs w:val="24"/>
              </w:rPr>
            </w:pPr>
          </w:p>
          <w:p w14:paraId="77905E0A" w14:textId="68A4EB27" w:rsidR="00EE0CD3" w:rsidRDefault="00EE0CD3" w:rsidP="00EE0CD3">
            <w:pPr>
              <w:rPr>
                <w:rFonts w:ascii="Calibri" w:eastAsia="Calibri" w:hAnsi="Calibri" w:cs="Times New Roman"/>
                <w:sz w:val="24"/>
                <w:szCs w:val="24"/>
              </w:rPr>
            </w:pPr>
            <w:r>
              <w:rPr>
                <w:rFonts w:ascii="Calibri" w:eastAsia="Calibri" w:hAnsi="Calibri" w:cs="Times New Roman"/>
                <w:sz w:val="24"/>
                <w:szCs w:val="24"/>
              </w:rPr>
              <w:t>Below are some metrics that demonstrate the</w:t>
            </w:r>
            <w:r w:rsidR="00A7039F">
              <w:rPr>
                <w:rFonts w:ascii="Calibri" w:eastAsia="Calibri" w:hAnsi="Calibri" w:cs="Times New Roman"/>
                <w:sz w:val="24"/>
                <w:szCs w:val="24"/>
              </w:rPr>
              <w:t xml:space="preserve"> high level of interest and engagement with </w:t>
            </w:r>
            <w:r>
              <w:rPr>
                <w:rFonts w:ascii="Calibri" w:eastAsia="Calibri" w:hAnsi="Calibri" w:cs="Times New Roman"/>
                <w:sz w:val="24"/>
                <w:szCs w:val="24"/>
              </w:rPr>
              <w:t xml:space="preserve">the reports: </w:t>
            </w:r>
          </w:p>
          <w:p w14:paraId="314939DC" w14:textId="0C681BB8" w:rsidR="00A7039F" w:rsidRPr="00A7039F" w:rsidRDefault="00A7039F" w:rsidP="00A7039F">
            <w:pPr>
              <w:pStyle w:val="Prrafodelista"/>
              <w:numPr>
                <w:ilvl w:val="0"/>
                <w:numId w:val="16"/>
              </w:numPr>
              <w:spacing w:after="120"/>
              <w:rPr>
                <w:rFonts w:cstheme="minorHAnsi"/>
                <w:sz w:val="24"/>
                <w:szCs w:val="24"/>
              </w:rPr>
            </w:pPr>
            <w:r w:rsidRPr="00A7039F">
              <w:rPr>
                <w:rFonts w:ascii="Calibri" w:eastAsia="Calibri" w:hAnsi="Calibri" w:cs="Times New Roman"/>
                <w:sz w:val="24"/>
                <w:szCs w:val="24"/>
              </w:rPr>
              <w:t xml:space="preserve">NDB reports garner broad and sustained media coverage. Between 1 January and 8 June 2022, more than </w:t>
            </w:r>
            <w:r w:rsidR="00776C96">
              <w:rPr>
                <w:rFonts w:ascii="Calibri" w:eastAsia="Calibri" w:hAnsi="Calibri" w:cs="Times New Roman"/>
                <w:sz w:val="24"/>
                <w:szCs w:val="24"/>
              </w:rPr>
              <w:t>290</w:t>
            </w:r>
            <w:r w:rsidRPr="00A7039F">
              <w:rPr>
                <w:rFonts w:ascii="Calibri" w:eastAsia="Calibri" w:hAnsi="Calibri" w:cs="Times New Roman"/>
                <w:sz w:val="24"/>
                <w:szCs w:val="24"/>
              </w:rPr>
              <w:t xml:space="preserve"> articles </w:t>
            </w:r>
            <w:bookmarkStart w:id="0" w:name="_Hlk85128777"/>
            <w:bookmarkStart w:id="1" w:name="_Hlk84499749"/>
            <w:bookmarkStart w:id="2" w:name="_Hlk71621119"/>
            <w:r w:rsidR="002A3D66" w:rsidRPr="00A7039F">
              <w:rPr>
                <w:rFonts w:ascii="Calibri" w:eastAsia="Calibri" w:hAnsi="Calibri" w:cs="Times New Roman"/>
                <w:sz w:val="24"/>
                <w:szCs w:val="24"/>
              </w:rPr>
              <w:t>referenced the NDB scheme and the OAIC</w:t>
            </w:r>
            <w:r w:rsidR="00776C96">
              <w:rPr>
                <w:rFonts w:ascii="Calibri" w:eastAsia="Calibri" w:hAnsi="Calibri" w:cs="Times New Roman"/>
                <w:sz w:val="24"/>
                <w:szCs w:val="24"/>
              </w:rPr>
              <w:t xml:space="preserve"> – 249</w:t>
            </w:r>
            <w:r>
              <w:rPr>
                <w:rFonts w:ascii="Calibri" w:eastAsia="Calibri" w:hAnsi="Calibri" w:cs="Times New Roman"/>
                <w:sz w:val="24"/>
                <w:szCs w:val="24"/>
              </w:rPr>
              <w:t xml:space="preserve"> of these articles</w:t>
            </w:r>
            <w:r w:rsidRPr="00A7039F">
              <w:rPr>
                <w:rFonts w:ascii="Calibri" w:eastAsia="Calibri" w:hAnsi="Calibri" w:cs="Times New Roman"/>
                <w:sz w:val="24"/>
                <w:szCs w:val="24"/>
              </w:rPr>
              <w:t xml:space="preserve"> </w:t>
            </w:r>
            <w:r w:rsidR="00776C96">
              <w:rPr>
                <w:rFonts w:ascii="Calibri" w:eastAsia="Calibri" w:hAnsi="Calibri" w:cs="Times New Roman"/>
                <w:sz w:val="24"/>
                <w:szCs w:val="24"/>
              </w:rPr>
              <w:t>included</w:t>
            </w:r>
            <w:r w:rsidRPr="00A7039F">
              <w:rPr>
                <w:rFonts w:ascii="Calibri" w:eastAsia="Calibri" w:hAnsi="Calibri" w:cs="Times New Roman"/>
                <w:sz w:val="24"/>
                <w:szCs w:val="24"/>
              </w:rPr>
              <w:t xml:space="preserve"> </w:t>
            </w:r>
            <w:r w:rsidR="00776C96">
              <w:rPr>
                <w:rFonts w:ascii="Calibri" w:eastAsia="Calibri" w:hAnsi="Calibri" w:cs="Times New Roman"/>
                <w:sz w:val="24"/>
                <w:szCs w:val="24"/>
              </w:rPr>
              <w:t>data from NDB</w:t>
            </w:r>
            <w:r w:rsidRPr="00A7039F">
              <w:rPr>
                <w:rFonts w:ascii="Calibri" w:eastAsia="Calibri" w:hAnsi="Calibri" w:cs="Times New Roman"/>
                <w:sz w:val="24"/>
                <w:szCs w:val="24"/>
              </w:rPr>
              <w:t xml:space="preserve"> reports.</w:t>
            </w:r>
            <w:bookmarkEnd w:id="0"/>
          </w:p>
          <w:p w14:paraId="46AC42FF" w14:textId="009B9FB6" w:rsidR="002A3D66" w:rsidRDefault="002A3D66" w:rsidP="00A7039F">
            <w:pPr>
              <w:pStyle w:val="Prrafodelista"/>
              <w:numPr>
                <w:ilvl w:val="0"/>
                <w:numId w:val="16"/>
              </w:numPr>
              <w:spacing w:after="120"/>
              <w:rPr>
                <w:rFonts w:cstheme="minorHAnsi"/>
                <w:sz w:val="24"/>
                <w:szCs w:val="24"/>
              </w:rPr>
            </w:pPr>
            <w:r w:rsidRPr="00A7039F">
              <w:rPr>
                <w:rFonts w:cstheme="minorHAnsi"/>
                <w:sz w:val="24"/>
                <w:szCs w:val="24"/>
              </w:rPr>
              <w:t>The</w:t>
            </w:r>
            <w:r w:rsidR="00221561">
              <w:rPr>
                <w:rFonts w:cstheme="minorHAnsi"/>
                <w:sz w:val="24"/>
                <w:szCs w:val="24"/>
              </w:rPr>
              <w:t xml:space="preserve"> OAIC’s</w:t>
            </w:r>
            <w:r w:rsidRPr="00A7039F">
              <w:rPr>
                <w:rFonts w:cstheme="minorHAnsi"/>
                <w:sz w:val="24"/>
                <w:szCs w:val="24"/>
              </w:rPr>
              <w:t xml:space="preserve"> </w:t>
            </w:r>
            <w:hyperlink r:id="rId22" w:history="1">
              <w:r w:rsidR="00A7039F">
                <w:rPr>
                  <w:rStyle w:val="Hipervnculo"/>
                  <w:rFonts w:cstheme="minorHAnsi"/>
                  <w:sz w:val="24"/>
                  <w:szCs w:val="24"/>
                </w:rPr>
                <w:t>notifiable data breaches statistics</w:t>
              </w:r>
            </w:hyperlink>
            <w:r w:rsidRPr="00A7039F">
              <w:rPr>
                <w:rFonts w:cstheme="minorHAnsi"/>
                <w:sz w:val="24"/>
                <w:szCs w:val="24"/>
              </w:rPr>
              <w:t xml:space="preserve"> </w:t>
            </w:r>
            <w:r w:rsidR="00221561">
              <w:rPr>
                <w:rFonts w:cstheme="minorHAnsi"/>
                <w:sz w:val="24"/>
                <w:szCs w:val="24"/>
              </w:rPr>
              <w:t xml:space="preserve">webpage </w:t>
            </w:r>
            <w:r w:rsidRPr="00A7039F">
              <w:rPr>
                <w:rFonts w:cstheme="minorHAnsi"/>
                <w:sz w:val="24"/>
                <w:szCs w:val="24"/>
              </w:rPr>
              <w:t xml:space="preserve">attracted </w:t>
            </w:r>
            <w:r w:rsidR="00A92099" w:rsidRPr="00A92099">
              <w:rPr>
                <w:rFonts w:cstheme="minorHAnsi"/>
                <w:sz w:val="24"/>
                <w:szCs w:val="24"/>
              </w:rPr>
              <w:t>5,925 vis</w:t>
            </w:r>
            <w:r w:rsidRPr="00A92099">
              <w:rPr>
                <w:rFonts w:cstheme="minorHAnsi"/>
                <w:sz w:val="24"/>
                <w:szCs w:val="24"/>
              </w:rPr>
              <w:t>its</w:t>
            </w:r>
            <w:r w:rsidRPr="00A7039F">
              <w:rPr>
                <w:rFonts w:cstheme="minorHAnsi"/>
                <w:sz w:val="24"/>
                <w:szCs w:val="24"/>
              </w:rPr>
              <w:t xml:space="preserve"> </w:t>
            </w:r>
            <w:r w:rsidR="00221561">
              <w:rPr>
                <w:rFonts w:cstheme="minorHAnsi"/>
                <w:sz w:val="24"/>
                <w:szCs w:val="24"/>
              </w:rPr>
              <w:t xml:space="preserve">and </w:t>
            </w:r>
            <w:r w:rsidR="00A92099">
              <w:rPr>
                <w:rFonts w:cstheme="minorHAnsi"/>
                <w:sz w:val="24"/>
                <w:szCs w:val="24"/>
              </w:rPr>
              <w:t>t</w:t>
            </w:r>
            <w:r w:rsidR="00221561" w:rsidRPr="00A7039F">
              <w:rPr>
                <w:rFonts w:cstheme="minorHAnsi"/>
                <w:sz w:val="24"/>
                <w:szCs w:val="24"/>
              </w:rPr>
              <w:t xml:space="preserve">he </w:t>
            </w:r>
            <w:hyperlink r:id="rId23" w:history="1">
              <w:r w:rsidR="00221561" w:rsidRPr="00A92099">
                <w:rPr>
                  <w:rStyle w:val="Hipervnculo"/>
                  <w:rFonts w:cstheme="minorHAnsi"/>
                  <w:sz w:val="24"/>
                  <w:szCs w:val="24"/>
                </w:rPr>
                <w:t>July to December 2021 report</w:t>
              </w:r>
            </w:hyperlink>
            <w:r w:rsidR="00221561">
              <w:rPr>
                <w:rFonts w:cstheme="minorHAnsi"/>
                <w:sz w:val="24"/>
                <w:szCs w:val="24"/>
              </w:rPr>
              <w:t xml:space="preserve"> </w:t>
            </w:r>
            <w:r w:rsidR="00A92099" w:rsidRPr="00A92099">
              <w:rPr>
                <w:rFonts w:cstheme="minorHAnsi"/>
                <w:sz w:val="24"/>
                <w:szCs w:val="24"/>
              </w:rPr>
              <w:t>7,033</w:t>
            </w:r>
            <w:r w:rsidR="00221561" w:rsidRPr="00A92099">
              <w:rPr>
                <w:rFonts w:cstheme="minorHAnsi"/>
                <w:sz w:val="24"/>
                <w:szCs w:val="24"/>
              </w:rPr>
              <w:t xml:space="preserve"> visits</w:t>
            </w:r>
            <w:r w:rsidR="00221561">
              <w:rPr>
                <w:rFonts w:cstheme="minorHAnsi"/>
                <w:sz w:val="24"/>
                <w:szCs w:val="24"/>
              </w:rPr>
              <w:t xml:space="preserve"> </w:t>
            </w:r>
            <w:r w:rsidR="00A7039F">
              <w:rPr>
                <w:rFonts w:cstheme="minorHAnsi"/>
                <w:sz w:val="24"/>
                <w:szCs w:val="24"/>
              </w:rPr>
              <w:t>between 1 January and 8 June 2022.</w:t>
            </w:r>
            <w:r w:rsidRPr="00A7039F">
              <w:rPr>
                <w:rFonts w:cstheme="minorHAnsi"/>
                <w:sz w:val="24"/>
                <w:szCs w:val="24"/>
              </w:rPr>
              <w:t xml:space="preserve"> </w:t>
            </w:r>
          </w:p>
          <w:p w14:paraId="59930933" w14:textId="6DA394D0" w:rsidR="002A3D66" w:rsidRPr="00A7039F" w:rsidRDefault="00A7039F" w:rsidP="00A7039F">
            <w:pPr>
              <w:pStyle w:val="Prrafodelista"/>
              <w:numPr>
                <w:ilvl w:val="0"/>
                <w:numId w:val="16"/>
              </w:numPr>
              <w:spacing w:after="120"/>
              <w:rPr>
                <w:rFonts w:cstheme="minorHAnsi"/>
                <w:sz w:val="24"/>
                <w:szCs w:val="24"/>
              </w:rPr>
            </w:pPr>
            <w:r>
              <w:rPr>
                <w:rFonts w:cstheme="minorHAnsi"/>
                <w:sz w:val="24"/>
                <w:szCs w:val="24"/>
              </w:rPr>
              <w:t>The OAIC has given</w:t>
            </w:r>
            <w:r w:rsidR="00221561">
              <w:rPr>
                <w:rFonts w:cstheme="minorHAnsi"/>
                <w:sz w:val="24"/>
                <w:szCs w:val="24"/>
              </w:rPr>
              <w:t xml:space="preserve"> 4</w:t>
            </w:r>
            <w:r>
              <w:rPr>
                <w:rFonts w:cstheme="minorHAnsi"/>
                <w:sz w:val="24"/>
                <w:szCs w:val="24"/>
              </w:rPr>
              <w:t xml:space="preserve"> NDB presentations in </w:t>
            </w:r>
            <w:r w:rsidR="00221561">
              <w:rPr>
                <w:rFonts w:cstheme="minorHAnsi"/>
                <w:sz w:val="24"/>
                <w:szCs w:val="24"/>
              </w:rPr>
              <w:t>the 2020–21 financial year</w:t>
            </w:r>
            <w:r>
              <w:rPr>
                <w:rFonts w:cstheme="minorHAnsi"/>
                <w:sz w:val="24"/>
                <w:szCs w:val="24"/>
              </w:rPr>
              <w:t xml:space="preserve"> and </w:t>
            </w:r>
            <w:bookmarkEnd w:id="1"/>
            <w:bookmarkEnd w:id="2"/>
            <w:r w:rsidR="002A3D66" w:rsidRPr="00A7039F">
              <w:rPr>
                <w:rFonts w:cstheme="minorHAnsi"/>
                <w:sz w:val="24"/>
                <w:szCs w:val="24"/>
              </w:rPr>
              <w:t xml:space="preserve">featured NDB issues as part of many other </w:t>
            </w:r>
            <w:r w:rsidR="00221561">
              <w:rPr>
                <w:rFonts w:cstheme="minorHAnsi"/>
                <w:sz w:val="24"/>
                <w:szCs w:val="24"/>
              </w:rPr>
              <w:t>speaking engagements</w:t>
            </w:r>
            <w:r w:rsidR="002A3D66" w:rsidRPr="00A7039F">
              <w:rPr>
                <w:rFonts w:cstheme="minorHAnsi"/>
                <w:sz w:val="24"/>
                <w:szCs w:val="24"/>
              </w:rPr>
              <w:t xml:space="preserve">. </w:t>
            </w:r>
          </w:p>
          <w:p w14:paraId="4120D298" w14:textId="07314803" w:rsidR="00221561" w:rsidRPr="00672BB9" w:rsidRDefault="00A7039F" w:rsidP="00AF1DFA">
            <w:pPr>
              <w:pStyle w:val="Prrafodelista"/>
              <w:numPr>
                <w:ilvl w:val="0"/>
                <w:numId w:val="16"/>
              </w:numPr>
              <w:spacing w:after="120"/>
              <w:rPr>
                <w:rFonts w:ascii="Calibri" w:eastAsia="Calibri" w:hAnsi="Calibri" w:cs="Times New Roman"/>
                <w:sz w:val="24"/>
                <w:szCs w:val="24"/>
              </w:rPr>
            </w:pPr>
            <w:r w:rsidRPr="00A7039F">
              <w:rPr>
                <w:rFonts w:cstheme="minorHAnsi"/>
                <w:sz w:val="24"/>
                <w:szCs w:val="24"/>
              </w:rPr>
              <w:t xml:space="preserve">The social media campaign for the July to December 2021 report received </w:t>
            </w:r>
            <w:r w:rsidR="00221561">
              <w:rPr>
                <w:rFonts w:cstheme="minorHAnsi"/>
                <w:sz w:val="24"/>
                <w:szCs w:val="24"/>
              </w:rPr>
              <w:t xml:space="preserve">over 32,000 </w:t>
            </w:r>
            <w:r w:rsidRPr="00A7039F">
              <w:rPr>
                <w:rFonts w:cstheme="minorHAnsi"/>
                <w:sz w:val="24"/>
                <w:szCs w:val="24"/>
              </w:rPr>
              <w:t>impressions</w:t>
            </w:r>
            <w:r w:rsidR="00221561">
              <w:rPr>
                <w:rFonts w:cstheme="minorHAnsi"/>
                <w:sz w:val="24"/>
                <w:szCs w:val="24"/>
              </w:rPr>
              <w:t>.</w:t>
            </w: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5B4D54C6" w14:textId="40BA1888" w:rsidR="00EE0CD3" w:rsidRDefault="00EE0CD3" w:rsidP="00DD6623">
            <w:pPr>
              <w:rPr>
                <w:rFonts w:ascii="Calibri" w:eastAsia="Calibri" w:hAnsi="Calibri" w:cs="Times New Roman"/>
                <w:sz w:val="24"/>
                <w:szCs w:val="24"/>
              </w:rPr>
            </w:pPr>
            <w:r>
              <w:rPr>
                <w:noProof/>
              </w:rPr>
              <w:lastRenderedPageBreak/>
              <w:drawing>
                <wp:inline distT="0" distB="0" distL="0" distR="0" wp14:anchorId="3E4BE2C3" wp14:editId="00472604">
                  <wp:extent cx="5724525" cy="3209925"/>
                  <wp:effectExtent l="0" t="0" r="9525" b="9525"/>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3209925"/>
                          </a:xfrm>
                          <a:prstGeom prst="rect">
                            <a:avLst/>
                          </a:prstGeom>
                          <a:noFill/>
                          <a:ln>
                            <a:noFill/>
                          </a:ln>
                        </pic:spPr>
                      </pic:pic>
                    </a:graphicData>
                  </a:graphic>
                </wp:inline>
              </w:drawing>
            </w:r>
          </w:p>
          <w:p w14:paraId="02F5561B" w14:textId="6D6C2C60" w:rsidR="003E4D70" w:rsidRPr="00DD6623" w:rsidRDefault="003E4D70" w:rsidP="003E4D70">
            <w:pPr>
              <w:jc w:val="center"/>
              <w:rPr>
                <w:rFonts w:ascii="Calibri" w:eastAsia="Calibri" w:hAnsi="Calibri" w:cs="Times New Roman"/>
                <w:sz w:val="24"/>
                <w:szCs w:val="24"/>
              </w:rPr>
            </w:pPr>
          </w:p>
          <w:p w14:paraId="68ABE615" w14:textId="77777777" w:rsidR="00DD6623" w:rsidRDefault="00DD6623" w:rsidP="003E4D70">
            <w:pPr>
              <w:rPr>
                <w:rFonts w:ascii="Calibri" w:eastAsia="Calibri" w:hAnsi="Calibri" w:cs="Times New Roman"/>
                <w:sz w:val="24"/>
                <w:szCs w:val="24"/>
              </w:rPr>
            </w:pPr>
          </w:p>
          <w:p w14:paraId="653B14FE" w14:textId="179C77C8" w:rsidR="003E4D70" w:rsidRPr="00DD6623" w:rsidRDefault="003E4D70" w:rsidP="00CB7019">
            <w:pPr>
              <w:jc w:val="cente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F54D57F" w:rsidR="00DD6623" w:rsidRDefault="00DD6623" w:rsidP="00DD6623">
            <w:pPr>
              <w:rPr>
                <w:rFonts w:ascii="Calibri" w:eastAsia="Calibri" w:hAnsi="Calibri" w:cs="Times New Roman"/>
                <w:i/>
                <w:iCs/>
                <w:sz w:val="24"/>
                <w:szCs w:val="24"/>
              </w:rPr>
            </w:pPr>
          </w:p>
          <w:p w14:paraId="03FA6513" w14:textId="6AF9B898" w:rsidR="00DD6623" w:rsidRDefault="003E4D70" w:rsidP="00DD6623">
            <w:pPr>
              <w:rPr>
                <w:rFonts w:ascii="Calibri" w:eastAsia="Calibri" w:hAnsi="Calibri" w:cs="Times New Roman"/>
                <w:sz w:val="24"/>
                <w:szCs w:val="24"/>
              </w:rPr>
            </w:pPr>
            <w:r>
              <w:rPr>
                <w:rFonts w:ascii="Calibri" w:eastAsia="Calibri" w:hAnsi="Calibri" w:cs="Times New Roman"/>
                <w:sz w:val="24"/>
                <w:szCs w:val="24"/>
              </w:rPr>
              <w:t xml:space="preserve">Notifiable data breaches statistics - </w:t>
            </w:r>
            <w:hyperlink r:id="rId25" w:history="1">
              <w:r w:rsidRPr="00826F48">
                <w:rPr>
                  <w:rStyle w:val="Hipervnculo"/>
                  <w:rFonts w:ascii="Calibri" w:eastAsia="Calibri" w:hAnsi="Calibri" w:cs="Times New Roman"/>
                  <w:sz w:val="24"/>
                  <w:szCs w:val="24"/>
                </w:rPr>
                <w:t>https://www.oaic.gov.au/privacy/notifiable-data-breaches/notifiable-data-breaches-statistics</w:t>
              </w:r>
            </w:hyperlink>
            <w:r>
              <w:rPr>
                <w:rFonts w:ascii="Calibri" w:eastAsia="Calibri" w:hAnsi="Calibri" w:cs="Times New Roman"/>
                <w:sz w:val="24"/>
                <w:szCs w:val="24"/>
              </w:rPr>
              <w:t xml:space="preserve"> </w:t>
            </w:r>
          </w:p>
          <w:p w14:paraId="38043EF4" w14:textId="77777777" w:rsidR="00DD6623" w:rsidRPr="00DD6623" w:rsidRDefault="00DD6623" w:rsidP="003E4D70">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5E2D9F8" w14:textId="2CB4F8C1" w:rsidR="00DD6623" w:rsidRDefault="00D849C6" w:rsidP="003E4D70">
            <w:pPr>
              <w:rPr>
                <w:rFonts w:ascii="Calibri" w:eastAsia="Calibri" w:hAnsi="Calibri" w:cs="Times New Roman"/>
                <w:sz w:val="24"/>
                <w:szCs w:val="24"/>
              </w:rPr>
            </w:pPr>
            <w:r>
              <w:rPr>
                <w:rFonts w:ascii="Calibri" w:eastAsia="Calibri" w:hAnsi="Calibri" w:cs="Times New Roman"/>
                <w:sz w:val="24"/>
                <w:szCs w:val="24"/>
              </w:rPr>
              <w:t>Example media coverage</w:t>
            </w:r>
            <w:r w:rsidR="003E4D70">
              <w:rPr>
                <w:rFonts w:ascii="Calibri" w:eastAsia="Calibri" w:hAnsi="Calibri" w:cs="Times New Roman"/>
                <w:sz w:val="24"/>
                <w:szCs w:val="24"/>
              </w:rPr>
              <w:t>:</w:t>
            </w:r>
          </w:p>
          <w:p w14:paraId="2664516C" w14:textId="7817042F" w:rsidR="00776C96" w:rsidRPr="00776C96" w:rsidRDefault="00776C96" w:rsidP="00776C96">
            <w:pPr>
              <w:pStyle w:val="Prrafodelista"/>
              <w:numPr>
                <w:ilvl w:val="0"/>
                <w:numId w:val="16"/>
              </w:numPr>
              <w:rPr>
                <w:rFonts w:ascii="Calibri" w:eastAsia="Calibri" w:hAnsi="Calibri" w:cs="Times New Roman"/>
                <w:sz w:val="24"/>
                <w:szCs w:val="24"/>
              </w:rPr>
            </w:pPr>
            <w:r>
              <w:rPr>
                <w:rFonts w:ascii="Calibri" w:eastAsia="Calibri" w:hAnsi="Calibri" w:cs="Times New Roman"/>
                <w:sz w:val="24"/>
                <w:szCs w:val="24"/>
              </w:rPr>
              <w:t>‘</w:t>
            </w:r>
            <w:hyperlink r:id="rId26" w:history="1">
              <w:r w:rsidRPr="00776C96">
                <w:rPr>
                  <w:rStyle w:val="Hipervnculo"/>
                  <w:rFonts w:ascii="Calibri" w:eastAsia="Calibri" w:hAnsi="Calibri" w:cs="Times New Roman"/>
                  <w:sz w:val="24"/>
                  <w:szCs w:val="24"/>
                </w:rPr>
                <w:t>464 Australian data breaches reported to the OAIC in latter half of 2021</w:t>
              </w:r>
            </w:hyperlink>
            <w:r>
              <w:rPr>
                <w:rFonts w:ascii="Calibri" w:eastAsia="Calibri" w:hAnsi="Calibri" w:cs="Times New Roman"/>
                <w:sz w:val="24"/>
                <w:szCs w:val="24"/>
              </w:rPr>
              <w:t xml:space="preserve">’, </w:t>
            </w:r>
            <w:r>
              <w:rPr>
                <w:rFonts w:ascii="Calibri" w:eastAsia="Calibri" w:hAnsi="Calibri" w:cs="Times New Roman"/>
                <w:i/>
                <w:iCs/>
                <w:sz w:val="24"/>
                <w:szCs w:val="24"/>
              </w:rPr>
              <w:t>ZDNet</w:t>
            </w:r>
          </w:p>
          <w:p w14:paraId="4D0ABB25" w14:textId="1D47A307" w:rsidR="00776C96" w:rsidRPr="00776C96" w:rsidRDefault="00776C96" w:rsidP="00776C96">
            <w:pPr>
              <w:pStyle w:val="Prrafodelista"/>
              <w:numPr>
                <w:ilvl w:val="0"/>
                <w:numId w:val="16"/>
              </w:numPr>
              <w:rPr>
                <w:sz w:val="24"/>
                <w:szCs w:val="24"/>
              </w:rPr>
            </w:pPr>
            <w:r w:rsidRPr="00776C96">
              <w:rPr>
                <w:sz w:val="24"/>
                <w:szCs w:val="24"/>
              </w:rPr>
              <w:t>‘</w:t>
            </w:r>
            <w:hyperlink r:id="rId27" w:history="1">
              <w:r w:rsidRPr="00776C96">
                <w:rPr>
                  <w:rStyle w:val="Hipervnculo"/>
                  <w:sz w:val="24"/>
                  <w:szCs w:val="24"/>
                </w:rPr>
                <w:t>Australian data breach statistics revealed in OAIC report</w:t>
              </w:r>
            </w:hyperlink>
            <w:r w:rsidRPr="00776C96">
              <w:rPr>
                <w:sz w:val="24"/>
                <w:szCs w:val="24"/>
              </w:rPr>
              <w:t xml:space="preserve">’, </w:t>
            </w:r>
            <w:proofErr w:type="spellStart"/>
            <w:r w:rsidRPr="00776C96">
              <w:rPr>
                <w:i/>
                <w:iCs/>
                <w:sz w:val="24"/>
                <w:szCs w:val="24"/>
              </w:rPr>
              <w:t>ITBrief</w:t>
            </w:r>
            <w:proofErr w:type="spellEnd"/>
          </w:p>
          <w:p w14:paraId="6045FFEF" w14:textId="5EBDC6D9" w:rsidR="00776C96" w:rsidRPr="00776C96" w:rsidRDefault="00776C96" w:rsidP="00776C96">
            <w:pPr>
              <w:pStyle w:val="Prrafodelista"/>
              <w:numPr>
                <w:ilvl w:val="0"/>
                <w:numId w:val="16"/>
              </w:numPr>
              <w:rPr>
                <w:sz w:val="24"/>
                <w:szCs w:val="24"/>
              </w:rPr>
            </w:pPr>
            <w:r w:rsidRPr="00776C96">
              <w:rPr>
                <w:sz w:val="24"/>
                <w:szCs w:val="24"/>
              </w:rPr>
              <w:t>‘</w:t>
            </w:r>
            <w:hyperlink r:id="rId28" w:history="1">
              <w:r w:rsidRPr="00776C96">
                <w:rPr>
                  <w:rStyle w:val="Hipervnculo"/>
                  <w:sz w:val="24"/>
                  <w:szCs w:val="24"/>
                </w:rPr>
                <w:t>Australia’s Health Sector Is Still Number One for Data Breaches, OAIC Report Confirms</w:t>
              </w:r>
            </w:hyperlink>
            <w:r w:rsidRPr="00776C96">
              <w:rPr>
                <w:sz w:val="24"/>
                <w:szCs w:val="24"/>
              </w:rPr>
              <w:t xml:space="preserve">’, </w:t>
            </w:r>
            <w:r w:rsidRPr="00776C96">
              <w:rPr>
                <w:i/>
                <w:iCs/>
                <w:sz w:val="24"/>
                <w:szCs w:val="24"/>
              </w:rPr>
              <w:t>Gizmodo</w:t>
            </w:r>
          </w:p>
          <w:p w14:paraId="31825EE1" w14:textId="2C287E86" w:rsidR="00776C96" w:rsidRDefault="00776C96" w:rsidP="00776C96">
            <w:pPr>
              <w:pStyle w:val="Prrafodelista"/>
              <w:numPr>
                <w:ilvl w:val="0"/>
                <w:numId w:val="16"/>
              </w:numPr>
              <w:rPr>
                <w:i/>
                <w:iCs/>
                <w:sz w:val="24"/>
                <w:szCs w:val="24"/>
              </w:rPr>
            </w:pPr>
            <w:r w:rsidRPr="00776C96">
              <w:rPr>
                <w:sz w:val="24"/>
                <w:szCs w:val="24"/>
              </w:rPr>
              <w:t>‘</w:t>
            </w:r>
            <w:hyperlink r:id="rId29" w:history="1">
              <w:r w:rsidRPr="00776C96">
                <w:rPr>
                  <w:rStyle w:val="Hipervnculo"/>
                  <w:sz w:val="24"/>
                  <w:szCs w:val="24"/>
                </w:rPr>
                <w:t>Data breaches on the rise in second half of 2021</w:t>
              </w:r>
            </w:hyperlink>
            <w:r w:rsidRPr="00776C96">
              <w:rPr>
                <w:sz w:val="24"/>
                <w:szCs w:val="24"/>
              </w:rPr>
              <w:t xml:space="preserve">’, </w:t>
            </w:r>
            <w:proofErr w:type="spellStart"/>
            <w:r w:rsidRPr="00776C96">
              <w:rPr>
                <w:i/>
                <w:iCs/>
                <w:sz w:val="24"/>
                <w:szCs w:val="24"/>
              </w:rPr>
              <w:t>InnovationAus</w:t>
            </w:r>
            <w:proofErr w:type="spellEnd"/>
          </w:p>
          <w:p w14:paraId="288A9234" w14:textId="1F34C331" w:rsidR="00776C96" w:rsidRDefault="00F20B6F" w:rsidP="00F20B6F">
            <w:pPr>
              <w:pStyle w:val="Prrafodelista"/>
              <w:numPr>
                <w:ilvl w:val="0"/>
                <w:numId w:val="16"/>
              </w:numPr>
              <w:rPr>
                <w:sz w:val="24"/>
                <w:szCs w:val="24"/>
              </w:rPr>
            </w:pPr>
            <w:r w:rsidRPr="00F20B6F">
              <w:rPr>
                <w:sz w:val="24"/>
                <w:szCs w:val="24"/>
              </w:rPr>
              <w:t>‘</w:t>
            </w:r>
            <w:hyperlink r:id="rId30" w:history="1">
              <w:r w:rsidRPr="00F20B6F">
                <w:rPr>
                  <w:rStyle w:val="Hipervnculo"/>
                  <w:sz w:val="24"/>
                  <w:szCs w:val="24"/>
                </w:rPr>
                <w:t>Health remains most breached sector; human errors rise by 43%</w:t>
              </w:r>
            </w:hyperlink>
            <w:r w:rsidRPr="00F20B6F">
              <w:rPr>
                <w:sz w:val="24"/>
                <w:szCs w:val="24"/>
              </w:rPr>
              <w:t xml:space="preserve">’, </w:t>
            </w:r>
            <w:r w:rsidRPr="00F20B6F">
              <w:rPr>
                <w:i/>
                <w:iCs/>
                <w:sz w:val="24"/>
                <w:szCs w:val="24"/>
              </w:rPr>
              <w:t>Hospital and Healthcare</w:t>
            </w:r>
            <w:r w:rsidRPr="00F20B6F">
              <w:rPr>
                <w:sz w:val="24"/>
                <w:szCs w:val="24"/>
              </w:rPr>
              <w:t xml:space="preserve"> </w:t>
            </w:r>
          </w:p>
          <w:p w14:paraId="378E6EF5" w14:textId="0B527DA0" w:rsidR="00F20B6F" w:rsidRPr="00F20B6F" w:rsidRDefault="00F20B6F" w:rsidP="00F20B6F">
            <w:pPr>
              <w:pStyle w:val="Prrafodelista"/>
              <w:numPr>
                <w:ilvl w:val="0"/>
                <w:numId w:val="16"/>
              </w:numPr>
              <w:rPr>
                <w:sz w:val="24"/>
                <w:szCs w:val="24"/>
              </w:rPr>
            </w:pPr>
            <w:r>
              <w:rPr>
                <w:sz w:val="24"/>
                <w:szCs w:val="24"/>
              </w:rPr>
              <w:t>‘</w:t>
            </w:r>
            <w:hyperlink r:id="rId31" w:history="1">
              <w:r w:rsidRPr="00F20B6F">
                <w:rPr>
                  <w:rStyle w:val="Hipervnculo"/>
                  <w:rFonts w:hint="cs"/>
                  <w:sz w:val="24"/>
                  <w:szCs w:val="24"/>
                </w:rPr>
                <w:t>OAIC report reveals 464 reported breaches 2H 2021, 17% from emailing PII to the wrong person</w:t>
              </w:r>
            </w:hyperlink>
            <w:r w:rsidRPr="00F20B6F">
              <w:rPr>
                <w:sz w:val="24"/>
                <w:szCs w:val="24"/>
              </w:rPr>
              <w:t xml:space="preserve">’, </w:t>
            </w:r>
            <w:proofErr w:type="spellStart"/>
            <w:r w:rsidRPr="00F20B6F">
              <w:rPr>
                <w:i/>
                <w:iCs/>
                <w:sz w:val="24"/>
                <w:szCs w:val="24"/>
              </w:rPr>
              <w:t>iTWire</w:t>
            </w:r>
            <w:proofErr w:type="spellEnd"/>
          </w:p>
          <w:p w14:paraId="4630EEB7" w14:textId="032FD586" w:rsidR="00F20B6F" w:rsidRPr="00F20B6F" w:rsidRDefault="00F20B6F" w:rsidP="00F20B6F">
            <w:pPr>
              <w:pStyle w:val="Prrafodelista"/>
              <w:numPr>
                <w:ilvl w:val="0"/>
                <w:numId w:val="16"/>
              </w:numPr>
              <w:rPr>
                <w:sz w:val="24"/>
                <w:szCs w:val="24"/>
              </w:rPr>
            </w:pPr>
            <w:r w:rsidRPr="00F20B6F">
              <w:rPr>
                <w:sz w:val="24"/>
                <w:szCs w:val="24"/>
              </w:rPr>
              <w:t>‘</w:t>
            </w:r>
            <w:hyperlink r:id="rId32" w:history="1">
              <w:r w:rsidRPr="00F20B6F">
                <w:rPr>
                  <w:rStyle w:val="Hipervnculo"/>
                  <w:sz w:val="24"/>
                  <w:szCs w:val="24"/>
                </w:rPr>
                <w:t>Data breaches rise but fewer occur in federal agencies</w:t>
              </w:r>
            </w:hyperlink>
            <w:r w:rsidRPr="00F20B6F">
              <w:rPr>
                <w:sz w:val="24"/>
                <w:szCs w:val="24"/>
              </w:rPr>
              <w:t xml:space="preserve">’, </w:t>
            </w:r>
            <w:r w:rsidRPr="00F20B6F">
              <w:rPr>
                <w:i/>
                <w:iCs/>
                <w:sz w:val="24"/>
                <w:szCs w:val="24"/>
              </w:rPr>
              <w:t>The Mandarin</w:t>
            </w:r>
          </w:p>
          <w:p w14:paraId="09526C22" w14:textId="711FDA40" w:rsidR="00F20B6F" w:rsidRPr="00F20B6F" w:rsidRDefault="00F20B6F" w:rsidP="00F20B6F">
            <w:pPr>
              <w:pStyle w:val="Prrafodelista"/>
              <w:numPr>
                <w:ilvl w:val="0"/>
                <w:numId w:val="16"/>
              </w:numPr>
              <w:rPr>
                <w:i/>
                <w:iCs/>
                <w:sz w:val="24"/>
                <w:szCs w:val="24"/>
              </w:rPr>
            </w:pPr>
            <w:r w:rsidRPr="00F20B6F">
              <w:rPr>
                <w:sz w:val="24"/>
                <w:szCs w:val="24"/>
              </w:rPr>
              <w:t>‘</w:t>
            </w:r>
            <w:hyperlink r:id="rId33" w:history="1">
              <w:r w:rsidRPr="00F20B6F">
                <w:rPr>
                  <w:rStyle w:val="Hipervnculo"/>
                  <w:sz w:val="24"/>
                  <w:szCs w:val="24"/>
                </w:rPr>
                <w:t>Industry target of malicious, criminal attacks</w:t>
              </w:r>
            </w:hyperlink>
            <w:r w:rsidRPr="00F20B6F">
              <w:rPr>
                <w:sz w:val="24"/>
                <w:szCs w:val="24"/>
              </w:rPr>
              <w:t xml:space="preserve">’, </w:t>
            </w:r>
            <w:proofErr w:type="spellStart"/>
            <w:r w:rsidRPr="00F20B6F">
              <w:rPr>
                <w:i/>
                <w:iCs/>
                <w:sz w:val="24"/>
                <w:szCs w:val="24"/>
              </w:rPr>
              <w:t>insuranceNEWS</w:t>
            </w:r>
            <w:proofErr w:type="spellEnd"/>
          </w:p>
          <w:p w14:paraId="3771810A" w14:textId="0AC1F686" w:rsidR="00F20B6F" w:rsidRPr="00F20B6F" w:rsidRDefault="00F20B6F" w:rsidP="00F20B6F">
            <w:pPr>
              <w:pStyle w:val="Prrafodelista"/>
              <w:numPr>
                <w:ilvl w:val="0"/>
                <w:numId w:val="16"/>
              </w:numPr>
              <w:rPr>
                <w:sz w:val="24"/>
                <w:szCs w:val="24"/>
              </w:rPr>
            </w:pPr>
            <w:r w:rsidRPr="00F20B6F">
              <w:rPr>
                <w:sz w:val="24"/>
                <w:szCs w:val="24"/>
              </w:rPr>
              <w:t>‘</w:t>
            </w:r>
            <w:hyperlink r:id="rId34" w:history="1">
              <w:r w:rsidRPr="00F20B6F">
                <w:rPr>
                  <w:rStyle w:val="Hipervnculo"/>
                  <w:sz w:val="24"/>
                  <w:szCs w:val="24"/>
                </w:rPr>
                <w:t>Call for data handlers to take more care</w:t>
              </w:r>
            </w:hyperlink>
            <w:r w:rsidRPr="00F20B6F">
              <w:rPr>
                <w:sz w:val="24"/>
                <w:szCs w:val="24"/>
              </w:rPr>
              <w:t xml:space="preserve">’, </w:t>
            </w:r>
            <w:r w:rsidRPr="00F20B6F">
              <w:rPr>
                <w:i/>
                <w:iCs/>
                <w:sz w:val="24"/>
                <w:szCs w:val="24"/>
              </w:rPr>
              <w:t>PS News</w:t>
            </w:r>
          </w:p>
          <w:p w14:paraId="54076242" w14:textId="6C0FBF0E" w:rsidR="00F20B6F" w:rsidRPr="00F20B6F" w:rsidRDefault="00F20B6F" w:rsidP="00F20B6F">
            <w:pPr>
              <w:pStyle w:val="Prrafodelista"/>
              <w:numPr>
                <w:ilvl w:val="0"/>
                <w:numId w:val="16"/>
              </w:numPr>
              <w:rPr>
                <w:sz w:val="24"/>
                <w:szCs w:val="24"/>
              </w:rPr>
            </w:pPr>
            <w:r w:rsidRPr="00F20B6F">
              <w:rPr>
                <w:sz w:val="24"/>
                <w:szCs w:val="24"/>
              </w:rPr>
              <w:t>‘</w:t>
            </w:r>
            <w:hyperlink r:id="rId35" w:history="1">
              <w:r w:rsidRPr="00F20B6F">
                <w:rPr>
                  <w:rStyle w:val="Hipervnculo"/>
                  <w:sz w:val="24"/>
                  <w:szCs w:val="24"/>
                </w:rPr>
                <w:t>As data breach notifications rise, so does organisation accountability: OAIC</w:t>
              </w:r>
            </w:hyperlink>
            <w:r w:rsidRPr="00F20B6F">
              <w:rPr>
                <w:sz w:val="24"/>
                <w:szCs w:val="24"/>
              </w:rPr>
              <w:t xml:space="preserve">’, </w:t>
            </w:r>
            <w:r w:rsidRPr="00F20B6F">
              <w:rPr>
                <w:i/>
                <w:iCs/>
                <w:sz w:val="24"/>
                <w:szCs w:val="24"/>
              </w:rPr>
              <w:t>ARN</w:t>
            </w:r>
          </w:p>
          <w:p w14:paraId="6B322FA8" w14:textId="77777777" w:rsidR="00776C96" w:rsidRDefault="00776C96" w:rsidP="003E4D70">
            <w:pPr>
              <w:rPr>
                <w:rFonts w:ascii="Calibri" w:eastAsia="Calibri" w:hAnsi="Calibri" w:cs="Times New Roman"/>
                <w:sz w:val="24"/>
                <w:szCs w:val="24"/>
              </w:rPr>
            </w:pPr>
          </w:p>
          <w:p w14:paraId="659ADA0F" w14:textId="77777777" w:rsidR="003E4D70" w:rsidRDefault="00AF1DFA" w:rsidP="003E4D70">
            <w:pPr>
              <w:rPr>
                <w:rFonts w:ascii="Calibri" w:eastAsia="Calibri" w:hAnsi="Calibri" w:cs="Times New Roman"/>
                <w:sz w:val="24"/>
                <w:szCs w:val="24"/>
              </w:rPr>
            </w:pPr>
            <w:r>
              <w:rPr>
                <w:rFonts w:ascii="Calibri" w:eastAsia="Calibri" w:hAnsi="Calibri" w:cs="Times New Roman"/>
                <w:sz w:val="24"/>
                <w:szCs w:val="24"/>
              </w:rPr>
              <w:lastRenderedPageBreak/>
              <w:t xml:space="preserve">Example social media post and engagement: </w:t>
            </w:r>
            <w:hyperlink r:id="rId36" w:history="1">
              <w:r w:rsidRPr="00826F48">
                <w:rPr>
                  <w:rStyle w:val="Hipervnculo"/>
                  <w:rFonts w:ascii="Calibri" w:eastAsia="Calibri" w:hAnsi="Calibri" w:cs="Times New Roman"/>
                  <w:sz w:val="24"/>
                  <w:szCs w:val="24"/>
                </w:rPr>
                <w:t>https://www.linkedin.com/feed/update/urn:li:activity:6901651133610258432</w:t>
              </w:r>
            </w:hyperlink>
            <w:r>
              <w:rPr>
                <w:rFonts w:ascii="Calibri" w:eastAsia="Calibri" w:hAnsi="Calibri" w:cs="Times New Roman"/>
                <w:sz w:val="24"/>
                <w:szCs w:val="24"/>
              </w:rPr>
              <w:t xml:space="preserve"> </w:t>
            </w:r>
          </w:p>
          <w:p w14:paraId="51D7102F" w14:textId="2CBCE49B" w:rsidR="00F20B6F" w:rsidRPr="00AF1DFA" w:rsidRDefault="00F20B6F" w:rsidP="003E4D70">
            <w:pPr>
              <w:rPr>
                <w:rFonts w:ascii="Calibri" w:eastAsia="Calibri" w:hAnsi="Calibri" w:cs="Times New Roman"/>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37"/>
      <w:footerReference w:type="default" r:id="rId38"/>
      <w:headerReference w:type="first" r:id="rId39"/>
      <w:footerReference w:type="first" r:id="rId40"/>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6C1A" w14:textId="77777777" w:rsidR="00E6628E" w:rsidRDefault="00E6628E" w:rsidP="00F41B32">
      <w:pPr>
        <w:spacing w:after="0" w:line="240" w:lineRule="auto"/>
      </w:pPr>
      <w:r>
        <w:separator/>
      </w:r>
    </w:p>
  </w:endnote>
  <w:endnote w:type="continuationSeparator" w:id="0">
    <w:p w14:paraId="0123811E" w14:textId="77777777" w:rsidR="00E6628E" w:rsidRDefault="00E6628E" w:rsidP="00F41B32">
      <w:pPr>
        <w:spacing w:after="0" w:line="240" w:lineRule="auto"/>
      </w:pPr>
      <w:r>
        <w:continuationSeparator/>
      </w:r>
    </w:p>
  </w:endnote>
  <w:endnote w:type="continuationNotice" w:id="1">
    <w:p w14:paraId="5A0B8EB7" w14:textId="77777777" w:rsidR="00E6628E" w:rsidRDefault="00E66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54AD" w14:textId="77777777" w:rsidR="00E6628E" w:rsidRDefault="00E6628E" w:rsidP="00F41B32">
      <w:pPr>
        <w:spacing w:after="0" w:line="240" w:lineRule="auto"/>
      </w:pPr>
      <w:r>
        <w:separator/>
      </w:r>
    </w:p>
  </w:footnote>
  <w:footnote w:type="continuationSeparator" w:id="0">
    <w:p w14:paraId="19915C17" w14:textId="77777777" w:rsidR="00E6628E" w:rsidRDefault="00E6628E" w:rsidP="00F41B32">
      <w:pPr>
        <w:spacing w:after="0" w:line="240" w:lineRule="auto"/>
      </w:pPr>
      <w:r>
        <w:continuationSeparator/>
      </w:r>
    </w:p>
  </w:footnote>
  <w:footnote w:type="continuationNotice" w:id="1">
    <w:p w14:paraId="61192192" w14:textId="77777777" w:rsidR="00E6628E" w:rsidRDefault="00E6628E">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10E"/>
    <w:multiLevelType w:val="hybridMultilevel"/>
    <w:tmpl w:val="61E4D31E"/>
    <w:lvl w:ilvl="0" w:tplc="229AC0D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73277"/>
    <w:multiLevelType w:val="hybridMultilevel"/>
    <w:tmpl w:val="99C0E108"/>
    <w:lvl w:ilvl="0" w:tplc="D206C0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124350"/>
    <w:multiLevelType w:val="multilevel"/>
    <w:tmpl w:val="7DB63B52"/>
    <w:numStyleLink w:val="BulletsOAIC"/>
  </w:abstractNum>
  <w:abstractNum w:abstractNumId="3" w15:restartNumberingAfterBreak="0">
    <w:nsid w:val="08415926"/>
    <w:multiLevelType w:val="hybridMultilevel"/>
    <w:tmpl w:val="A7283C9E"/>
    <w:lvl w:ilvl="0" w:tplc="D206C0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1534B"/>
    <w:multiLevelType w:val="multilevel"/>
    <w:tmpl w:val="7DB63B52"/>
    <w:styleLink w:val="BulletsOAIC"/>
    <w:lvl w:ilvl="0">
      <w:start w:val="1"/>
      <w:numFmt w:val="bullet"/>
      <w:pStyle w:val="Listaconvietas"/>
      <w:lvlText w:val=""/>
      <w:lvlJc w:val="left"/>
      <w:pPr>
        <w:ind w:left="284" w:hanging="284"/>
      </w:pPr>
      <w:rPr>
        <w:rFonts w:ascii="Symbol" w:hAnsi="Symbol" w:hint="default"/>
        <w:b w:val="0"/>
        <w:bCs w:val="0"/>
        <w:i w:val="0"/>
        <w:iCs w:val="0"/>
        <w:caps w:val="0"/>
        <w:smallCaps w:val="0"/>
        <w:strike w:val="0"/>
        <w:dstrike w:val="0"/>
        <w:vanish w:val="0"/>
        <w:color w:val="auto"/>
        <w:spacing w:val="0"/>
        <w:kern w:val="0"/>
        <w:position w:val="0"/>
        <w:u w:val="none" w:color="4F81BD" w:themeColor="accent1"/>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aconvietas2"/>
      <w:lvlText w:val="−"/>
      <w:lvlJc w:val="left"/>
      <w:pPr>
        <w:ind w:left="568" w:hanging="284"/>
      </w:pPr>
      <w:rPr>
        <w:rFonts w:ascii="Times New Roman" w:hAnsi="Times New Roman" w:cs="Times New Roman" w:hint="default"/>
        <w:color w:val="auto"/>
      </w:rPr>
    </w:lvl>
    <w:lvl w:ilvl="2">
      <w:start w:val="1"/>
      <w:numFmt w:val="bullet"/>
      <w:pStyle w:val="Listaconvietas3"/>
      <w:lvlText w:val=""/>
      <w:lvlJc w:val="left"/>
      <w:pPr>
        <w:ind w:left="852" w:hanging="284"/>
      </w:pPr>
      <w:rPr>
        <w:rFonts w:ascii="Symbol" w:hAnsi="Symbol" w:hint="default"/>
        <w:color w:val="auto"/>
      </w:rPr>
    </w:lvl>
    <w:lvl w:ilvl="3">
      <w:start w:val="1"/>
      <w:numFmt w:val="bullet"/>
      <w:pStyle w:val="Listaconvietas4"/>
      <w:lvlText w:val=""/>
      <w:lvlJc w:val="left"/>
      <w:pPr>
        <w:ind w:left="199" w:hanging="199"/>
      </w:pPr>
      <w:rPr>
        <w:rFonts w:ascii="Symbol" w:hAnsi="Symbol" w:hint="default"/>
        <w:color w:val="auto"/>
      </w:rPr>
    </w:lvl>
    <w:lvl w:ilvl="4">
      <w:start w:val="1"/>
      <w:numFmt w:val="bullet"/>
      <w:pStyle w:val="IndentBullet1"/>
      <w:lvlText w:val=""/>
      <w:lvlJc w:val="left"/>
      <w:pPr>
        <w:ind w:left="567" w:hanging="283"/>
      </w:pPr>
      <w:rPr>
        <w:rFonts w:ascii="Symbol" w:hAnsi="Symbol" w:hint="default"/>
        <w:color w:val="auto"/>
      </w:rPr>
    </w:lvl>
    <w:lvl w:ilvl="5">
      <w:start w:val="1"/>
      <w:numFmt w:val="bullet"/>
      <w:pStyle w:val="IndentBullet2"/>
      <w:lvlText w:val="−"/>
      <w:lvlJc w:val="left"/>
      <w:pPr>
        <w:ind w:left="851" w:hanging="284"/>
      </w:pPr>
      <w:rPr>
        <w:rFonts w:ascii="Times New Roman" w:hAnsi="Times New Roman" w:cs="Times New Roman" w:hint="default"/>
        <w:color w:val="auto"/>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6B5644"/>
    <w:multiLevelType w:val="hybridMultilevel"/>
    <w:tmpl w:val="57C8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991ACD"/>
    <w:multiLevelType w:val="hybridMultilevel"/>
    <w:tmpl w:val="9F54025A"/>
    <w:lvl w:ilvl="0" w:tplc="229AC0D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DF1549"/>
    <w:multiLevelType w:val="hybridMultilevel"/>
    <w:tmpl w:val="76B6BB92"/>
    <w:lvl w:ilvl="0" w:tplc="4B9C1C8A">
      <w:start w:val="1"/>
      <w:numFmt w:val="bullet"/>
      <w:lvlText w:val=""/>
      <w:lvlJc w:val="left"/>
      <w:pPr>
        <w:tabs>
          <w:tab w:val="num" w:pos="720"/>
        </w:tabs>
        <w:ind w:left="720" w:hanging="360"/>
      </w:pPr>
      <w:rPr>
        <w:rFonts w:ascii="Wingdings" w:hAnsi="Wingdings" w:hint="default"/>
      </w:rPr>
    </w:lvl>
    <w:lvl w:ilvl="1" w:tplc="3DECF7DC">
      <w:numFmt w:val="bullet"/>
      <w:lvlText w:val="•"/>
      <w:lvlJc w:val="left"/>
      <w:pPr>
        <w:tabs>
          <w:tab w:val="num" w:pos="1440"/>
        </w:tabs>
        <w:ind w:left="1440" w:hanging="360"/>
      </w:pPr>
      <w:rPr>
        <w:rFonts w:ascii="Arial" w:hAnsi="Arial" w:hint="default"/>
      </w:rPr>
    </w:lvl>
    <w:lvl w:ilvl="2" w:tplc="5F1E8970" w:tentative="1">
      <w:start w:val="1"/>
      <w:numFmt w:val="bullet"/>
      <w:lvlText w:val=""/>
      <w:lvlJc w:val="left"/>
      <w:pPr>
        <w:tabs>
          <w:tab w:val="num" w:pos="2160"/>
        </w:tabs>
        <w:ind w:left="2160" w:hanging="360"/>
      </w:pPr>
      <w:rPr>
        <w:rFonts w:ascii="Wingdings" w:hAnsi="Wingdings" w:hint="default"/>
      </w:rPr>
    </w:lvl>
    <w:lvl w:ilvl="3" w:tplc="248C5150" w:tentative="1">
      <w:start w:val="1"/>
      <w:numFmt w:val="bullet"/>
      <w:lvlText w:val=""/>
      <w:lvlJc w:val="left"/>
      <w:pPr>
        <w:tabs>
          <w:tab w:val="num" w:pos="2880"/>
        </w:tabs>
        <w:ind w:left="2880" w:hanging="360"/>
      </w:pPr>
      <w:rPr>
        <w:rFonts w:ascii="Wingdings" w:hAnsi="Wingdings" w:hint="default"/>
      </w:rPr>
    </w:lvl>
    <w:lvl w:ilvl="4" w:tplc="ED7C49C8" w:tentative="1">
      <w:start w:val="1"/>
      <w:numFmt w:val="bullet"/>
      <w:lvlText w:val=""/>
      <w:lvlJc w:val="left"/>
      <w:pPr>
        <w:tabs>
          <w:tab w:val="num" w:pos="3600"/>
        </w:tabs>
        <w:ind w:left="3600" w:hanging="360"/>
      </w:pPr>
      <w:rPr>
        <w:rFonts w:ascii="Wingdings" w:hAnsi="Wingdings" w:hint="default"/>
      </w:rPr>
    </w:lvl>
    <w:lvl w:ilvl="5" w:tplc="0276BB52" w:tentative="1">
      <w:start w:val="1"/>
      <w:numFmt w:val="bullet"/>
      <w:lvlText w:val=""/>
      <w:lvlJc w:val="left"/>
      <w:pPr>
        <w:tabs>
          <w:tab w:val="num" w:pos="4320"/>
        </w:tabs>
        <w:ind w:left="4320" w:hanging="360"/>
      </w:pPr>
      <w:rPr>
        <w:rFonts w:ascii="Wingdings" w:hAnsi="Wingdings" w:hint="default"/>
      </w:rPr>
    </w:lvl>
    <w:lvl w:ilvl="6" w:tplc="AC20B536" w:tentative="1">
      <w:start w:val="1"/>
      <w:numFmt w:val="bullet"/>
      <w:lvlText w:val=""/>
      <w:lvlJc w:val="left"/>
      <w:pPr>
        <w:tabs>
          <w:tab w:val="num" w:pos="5040"/>
        </w:tabs>
        <w:ind w:left="5040" w:hanging="360"/>
      </w:pPr>
      <w:rPr>
        <w:rFonts w:ascii="Wingdings" w:hAnsi="Wingdings" w:hint="default"/>
      </w:rPr>
    </w:lvl>
    <w:lvl w:ilvl="7" w:tplc="73120300" w:tentative="1">
      <w:start w:val="1"/>
      <w:numFmt w:val="bullet"/>
      <w:lvlText w:val=""/>
      <w:lvlJc w:val="left"/>
      <w:pPr>
        <w:tabs>
          <w:tab w:val="num" w:pos="5760"/>
        </w:tabs>
        <w:ind w:left="5760" w:hanging="360"/>
      </w:pPr>
      <w:rPr>
        <w:rFonts w:ascii="Wingdings" w:hAnsi="Wingdings" w:hint="default"/>
      </w:rPr>
    </w:lvl>
    <w:lvl w:ilvl="8" w:tplc="83048F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A77CB9"/>
    <w:multiLevelType w:val="hybridMultilevel"/>
    <w:tmpl w:val="3586BA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04C34B2"/>
    <w:multiLevelType w:val="hybridMultilevel"/>
    <w:tmpl w:val="2A06AEEC"/>
    <w:lvl w:ilvl="0" w:tplc="229AC0D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58642F"/>
    <w:multiLevelType w:val="hybridMultilevel"/>
    <w:tmpl w:val="8458CBB6"/>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5D91442"/>
    <w:multiLevelType w:val="hybridMultilevel"/>
    <w:tmpl w:val="D17AC1C8"/>
    <w:lvl w:ilvl="0" w:tplc="D206C0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8F1523"/>
    <w:multiLevelType w:val="hybridMultilevel"/>
    <w:tmpl w:val="5F6C18BE"/>
    <w:lvl w:ilvl="0" w:tplc="D206C0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29F5"/>
    <w:multiLevelType w:val="hybridMultilevel"/>
    <w:tmpl w:val="CFCEC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78703E3"/>
    <w:multiLevelType w:val="hybridMultilevel"/>
    <w:tmpl w:val="832007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763B0A51"/>
    <w:multiLevelType w:val="hybridMultilevel"/>
    <w:tmpl w:val="4D54F9B6"/>
    <w:lvl w:ilvl="0" w:tplc="BF083578">
      <w:start w:val="1"/>
      <w:numFmt w:val="bullet"/>
      <w:lvlText w:val=""/>
      <w:lvlJc w:val="left"/>
      <w:pPr>
        <w:ind w:left="502" w:hanging="360"/>
      </w:pPr>
      <w:rPr>
        <w:rFonts w:ascii="Symbol" w:hAnsi="Symbol" w:hint="default"/>
        <w:sz w:val="24"/>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16cid:durableId="957759470">
    <w:abstractNumId w:val="5"/>
  </w:num>
  <w:num w:numId="2" w16cid:durableId="2010718593">
    <w:abstractNumId w:val="18"/>
  </w:num>
  <w:num w:numId="3" w16cid:durableId="18825672">
    <w:abstractNumId w:val="11"/>
  </w:num>
  <w:num w:numId="4" w16cid:durableId="2040080852">
    <w:abstractNumId w:val="17"/>
  </w:num>
  <w:num w:numId="5" w16cid:durableId="1134251239">
    <w:abstractNumId w:val="6"/>
  </w:num>
  <w:num w:numId="6" w16cid:durableId="1742366335">
    <w:abstractNumId w:val="14"/>
  </w:num>
  <w:num w:numId="7" w16cid:durableId="165554577">
    <w:abstractNumId w:val="4"/>
  </w:num>
  <w:num w:numId="8" w16cid:durableId="1971007500">
    <w:abstractNumId w:val="2"/>
  </w:num>
  <w:num w:numId="9" w16cid:durableId="1626278480">
    <w:abstractNumId w:val="3"/>
  </w:num>
  <w:num w:numId="10" w16cid:durableId="990986168">
    <w:abstractNumId w:val="8"/>
  </w:num>
  <w:num w:numId="11" w16cid:durableId="1261184922">
    <w:abstractNumId w:val="1"/>
  </w:num>
  <w:num w:numId="12" w16cid:durableId="213927494">
    <w:abstractNumId w:val="9"/>
  </w:num>
  <w:num w:numId="13" w16cid:durableId="1513033778">
    <w:abstractNumId w:val="13"/>
  </w:num>
  <w:num w:numId="14" w16cid:durableId="1697123130">
    <w:abstractNumId w:val="15"/>
  </w:num>
  <w:num w:numId="15" w16cid:durableId="1786384944">
    <w:abstractNumId w:val="12"/>
  </w:num>
  <w:num w:numId="16" w16cid:durableId="107939216">
    <w:abstractNumId w:val="19"/>
  </w:num>
  <w:num w:numId="17" w16cid:durableId="1023020392">
    <w:abstractNumId w:val="10"/>
  </w:num>
  <w:num w:numId="18" w16cid:durableId="2117141452">
    <w:abstractNumId w:val="0"/>
  </w:num>
  <w:num w:numId="19" w16cid:durableId="695275183">
    <w:abstractNumId w:val="16"/>
  </w:num>
  <w:num w:numId="20" w16cid:durableId="125440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268C5"/>
    <w:rsid w:val="00150BA3"/>
    <w:rsid w:val="00171841"/>
    <w:rsid w:val="00177F95"/>
    <w:rsid w:val="00193EBC"/>
    <w:rsid w:val="00196153"/>
    <w:rsid w:val="001B1447"/>
    <w:rsid w:val="001B3FE8"/>
    <w:rsid w:val="001D4FC2"/>
    <w:rsid w:val="001D52C3"/>
    <w:rsid w:val="00216430"/>
    <w:rsid w:val="00221561"/>
    <w:rsid w:val="00235848"/>
    <w:rsid w:val="002604F5"/>
    <w:rsid w:val="00281428"/>
    <w:rsid w:val="002A3D66"/>
    <w:rsid w:val="002B00D0"/>
    <w:rsid w:val="002D106F"/>
    <w:rsid w:val="002F7D3D"/>
    <w:rsid w:val="00301994"/>
    <w:rsid w:val="0030219B"/>
    <w:rsid w:val="00316AE1"/>
    <w:rsid w:val="003249A6"/>
    <w:rsid w:val="003642C7"/>
    <w:rsid w:val="003800F5"/>
    <w:rsid w:val="003A0EC7"/>
    <w:rsid w:val="003B7DAA"/>
    <w:rsid w:val="003D58FC"/>
    <w:rsid w:val="003E4D70"/>
    <w:rsid w:val="0043397E"/>
    <w:rsid w:val="004467A0"/>
    <w:rsid w:val="00454A33"/>
    <w:rsid w:val="00480B2C"/>
    <w:rsid w:val="00486A6C"/>
    <w:rsid w:val="0049273F"/>
    <w:rsid w:val="004A26CF"/>
    <w:rsid w:val="004C41B3"/>
    <w:rsid w:val="004D1E2E"/>
    <w:rsid w:val="004E5F37"/>
    <w:rsid w:val="00500A57"/>
    <w:rsid w:val="00502848"/>
    <w:rsid w:val="00514A4F"/>
    <w:rsid w:val="0057237B"/>
    <w:rsid w:val="0057274A"/>
    <w:rsid w:val="005757D2"/>
    <w:rsid w:val="005C0354"/>
    <w:rsid w:val="005E12FC"/>
    <w:rsid w:val="005E4FDC"/>
    <w:rsid w:val="00600353"/>
    <w:rsid w:val="00633D54"/>
    <w:rsid w:val="00672BB9"/>
    <w:rsid w:val="006756E8"/>
    <w:rsid w:val="0068231A"/>
    <w:rsid w:val="006832D5"/>
    <w:rsid w:val="00697F72"/>
    <w:rsid w:val="006A3D3A"/>
    <w:rsid w:val="006C1FE3"/>
    <w:rsid w:val="006E1894"/>
    <w:rsid w:val="006F7076"/>
    <w:rsid w:val="0070032E"/>
    <w:rsid w:val="0071587F"/>
    <w:rsid w:val="0072573D"/>
    <w:rsid w:val="007526DC"/>
    <w:rsid w:val="00776C96"/>
    <w:rsid w:val="00793B52"/>
    <w:rsid w:val="007B2B44"/>
    <w:rsid w:val="007B6E8E"/>
    <w:rsid w:val="007C5278"/>
    <w:rsid w:val="007D00E1"/>
    <w:rsid w:val="00805A48"/>
    <w:rsid w:val="00806684"/>
    <w:rsid w:val="00816ED0"/>
    <w:rsid w:val="0082165F"/>
    <w:rsid w:val="0082183A"/>
    <w:rsid w:val="00826CED"/>
    <w:rsid w:val="00830CDA"/>
    <w:rsid w:val="00863C68"/>
    <w:rsid w:val="00872A9A"/>
    <w:rsid w:val="008D3516"/>
    <w:rsid w:val="008D4F69"/>
    <w:rsid w:val="00903E7C"/>
    <w:rsid w:val="00925BD2"/>
    <w:rsid w:val="00927534"/>
    <w:rsid w:val="00952C07"/>
    <w:rsid w:val="009A7AE1"/>
    <w:rsid w:val="009B0066"/>
    <w:rsid w:val="009C05D3"/>
    <w:rsid w:val="00A26D51"/>
    <w:rsid w:val="00A3098B"/>
    <w:rsid w:val="00A30B63"/>
    <w:rsid w:val="00A42A5D"/>
    <w:rsid w:val="00A45AD6"/>
    <w:rsid w:val="00A6346E"/>
    <w:rsid w:val="00A7039F"/>
    <w:rsid w:val="00A90962"/>
    <w:rsid w:val="00A92099"/>
    <w:rsid w:val="00A947E7"/>
    <w:rsid w:val="00AA4D18"/>
    <w:rsid w:val="00AC02D8"/>
    <w:rsid w:val="00AF1DFA"/>
    <w:rsid w:val="00AF2415"/>
    <w:rsid w:val="00B17318"/>
    <w:rsid w:val="00B541DD"/>
    <w:rsid w:val="00B75191"/>
    <w:rsid w:val="00B831EB"/>
    <w:rsid w:val="00BB6A10"/>
    <w:rsid w:val="00BD2F98"/>
    <w:rsid w:val="00BF49F3"/>
    <w:rsid w:val="00C27874"/>
    <w:rsid w:val="00C574B1"/>
    <w:rsid w:val="00C6148B"/>
    <w:rsid w:val="00C64F40"/>
    <w:rsid w:val="00C67697"/>
    <w:rsid w:val="00C91AFF"/>
    <w:rsid w:val="00C96C3C"/>
    <w:rsid w:val="00C97DE0"/>
    <w:rsid w:val="00CA586B"/>
    <w:rsid w:val="00CB0A28"/>
    <w:rsid w:val="00CB241A"/>
    <w:rsid w:val="00CB7019"/>
    <w:rsid w:val="00CE741E"/>
    <w:rsid w:val="00D01E6C"/>
    <w:rsid w:val="00D15EEF"/>
    <w:rsid w:val="00D2147F"/>
    <w:rsid w:val="00D403D7"/>
    <w:rsid w:val="00D456F2"/>
    <w:rsid w:val="00D55B41"/>
    <w:rsid w:val="00D60184"/>
    <w:rsid w:val="00D67BB7"/>
    <w:rsid w:val="00D81921"/>
    <w:rsid w:val="00D849C6"/>
    <w:rsid w:val="00D97CA0"/>
    <w:rsid w:val="00DA268A"/>
    <w:rsid w:val="00DA64BB"/>
    <w:rsid w:val="00DC105D"/>
    <w:rsid w:val="00DC58A3"/>
    <w:rsid w:val="00DC6E06"/>
    <w:rsid w:val="00DD6623"/>
    <w:rsid w:val="00DE2947"/>
    <w:rsid w:val="00DE3507"/>
    <w:rsid w:val="00DE7A0D"/>
    <w:rsid w:val="00DF40FC"/>
    <w:rsid w:val="00E02E87"/>
    <w:rsid w:val="00E325BD"/>
    <w:rsid w:val="00E43076"/>
    <w:rsid w:val="00E57180"/>
    <w:rsid w:val="00E6628E"/>
    <w:rsid w:val="00E820A4"/>
    <w:rsid w:val="00E86F11"/>
    <w:rsid w:val="00E90C6C"/>
    <w:rsid w:val="00E933E6"/>
    <w:rsid w:val="00EE0CD3"/>
    <w:rsid w:val="00EE29DF"/>
    <w:rsid w:val="00F20B6F"/>
    <w:rsid w:val="00F41B32"/>
    <w:rsid w:val="00F83EFA"/>
    <w:rsid w:val="00FA4BB1"/>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76C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Ttulo2">
    <w:name w:val="heading 2"/>
    <w:basedOn w:val="Normal"/>
    <w:next w:val="Normal"/>
    <w:link w:val="Ttulo2Car"/>
    <w:uiPriority w:val="9"/>
    <w:unhideWhenUsed/>
    <w:qFormat/>
    <w:rsid w:val="00F20B6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196153"/>
    <w:rPr>
      <w:color w:val="800080" w:themeColor="followedHyperlink"/>
      <w:u w:val="single"/>
    </w:rPr>
  </w:style>
  <w:style w:type="paragraph" w:styleId="Listaconvietas2">
    <w:name w:val="List Bullet 2"/>
    <w:basedOn w:val="Normal"/>
    <w:uiPriority w:val="99"/>
    <w:qFormat/>
    <w:rsid w:val="00454A33"/>
    <w:pPr>
      <w:numPr>
        <w:ilvl w:val="1"/>
        <w:numId w:val="8"/>
      </w:numPr>
      <w:adjustRightInd w:val="0"/>
      <w:spacing w:after="120" w:line="240" w:lineRule="auto"/>
    </w:pPr>
    <w:rPr>
      <w:rFonts w:eastAsiaTheme="minorEastAsia" w:cs="Times New Roman"/>
      <w:szCs w:val="20"/>
      <w:lang w:val="en-AU" w:eastAsia="ko-KR"/>
    </w:rPr>
  </w:style>
  <w:style w:type="numbering" w:customStyle="1" w:styleId="BulletsOAIC">
    <w:name w:val="Bullets_OAIC"/>
    <w:uiPriority w:val="99"/>
    <w:rsid w:val="00454A33"/>
    <w:pPr>
      <w:numPr>
        <w:numId w:val="7"/>
      </w:numPr>
    </w:pPr>
  </w:style>
  <w:style w:type="paragraph" w:styleId="Listaconvietas">
    <w:name w:val="List Bullet"/>
    <w:basedOn w:val="Normal"/>
    <w:uiPriority w:val="99"/>
    <w:qFormat/>
    <w:rsid w:val="00454A33"/>
    <w:pPr>
      <w:numPr>
        <w:numId w:val="8"/>
      </w:numPr>
      <w:spacing w:after="120" w:line="240" w:lineRule="auto"/>
    </w:pPr>
    <w:rPr>
      <w:rFonts w:eastAsiaTheme="minorEastAsia" w:cs="Times New Roman"/>
      <w:szCs w:val="20"/>
      <w:lang w:val="en-AU" w:eastAsia="ko-KR"/>
    </w:rPr>
  </w:style>
  <w:style w:type="paragraph" w:customStyle="1" w:styleId="IndentBullet1">
    <w:name w:val="Indent Bullet 1"/>
    <w:basedOn w:val="Normal"/>
    <w:qFormat/>
    <w:rsid w:val="00454A33"/>
    <w:pPr>
      <w:numPr>
        <w:ilvl w:val="4"/>
        <w:numId w:val="8"/>
      </w:numPr>
      <w:spacing w:after="120" w:line="240" w:lineRule="auto"/>
    </w:pPr>
    <w:rPr>
      <w:rFonts w:eastAsiaTheme="minorEastAsia" w:cs="Times New Roman"/>
      <w:szCs w:val="20"/>
      <w:lang w:val="en-AU" w:eastAsia="ko-KR"/>
    </w:rPr>
  </w:style>
  <w:style w:type="paragraph" w:customStyle="1" w:styleId="IndentBullet2">
    <w:name w:val="Indent Bullet 2"/>
    <w:basedOn w:val="Prrafodelista"/>
    <w:qFormat/>
    <w:rsid w:val="00454A33"/>
    <w:pPr>
      <w:numPr>
        <w:ilvl w:val="5"/>
        <w:numId w:val="8"/>
      </w:numPr>
      <w:spacing w:after="160" w:line="240" w:lineRule="auto"/>
      <w:contextualSpacing w:val="0"/>
    </w:pPr>
    <w:rPr>
      <w:rFonts w:eastAsiaTheme="minorEastAsia" w:cs="Times New Roman"/>
      <w:szCs w:val="20"/>
      <w:lang w:val="en-AU" w:eastAsia="ko-KR"/>
    </w:rPr>
  </w:style>
  <w:style w:type="paragraph" w:styleId="Listaconvietas3">
    <w:name w:val="List Bullet 3"/>
    <w:basedOn w:val="Normal"/>
    <w:uiPriority w:val="99"/>
    <w:semiHidden/>
    <w:rsid w:val="00454A33"/>
    <w:pPr>
      <w:numPr>
        <w:ilvl w:val="2"/>
        <w:numId w:val="8"/>
      </w:numPr>
      <w:spacing w:after="120" w:line="240" w:lineRule="auto"/>
      <w:contextualSpacing/>
    </w:pPr>
    <w:rPr>
      <w:rFonts w:eastAsiaTheme="minorEastAsia" w:cs="Times New Roman"/>
      <w:szCs w:val="20"/>
      <w:lang w:val="en-AU" w:eastAsia="ko-KR"/>
    </w:rPr>
  </w:style>
  <w:style w:type="paragraph" w:styleId="Listaconvietas4">
    <w:name w:val="List Bullet 4"/>
    <w:basedOn w:val="Normal"/>
    <w:uiPriority w:val="99"/>
    <w:unhideWhenUsed/>
    <w:qFormat/>
    <w:rsid w:val="00454A33"/>
    <w:pPr>
      <w:numPr>
        <w:ilvl w:val="3"/>
        <w:numId w:val="8"/>
      </w:numPr>
      <w:spacing w:before="180" w:after="0" w:line="240" w:lineRule="auto"/>
    </w:pPr>
    <w:rPr>
      <w:rFonts w:eastAsiaTheme="minorEastAsia" w:cs="Times New Roman"/>
      <w:szCs w:val="20"/>
      <w:lang w:val="en-AU" w:eastAsia="ko-KR"/>
    </w:rPr>
  </w:style>
  <w:style w:type="paragraph" w:customStyle="1" w:styleId="Paragraph">
    <w:name w:val="Paragraph"/>
    <w:basedOn w:val="Normal"/>
    <w:link w:val="ParagraphChar"/>
    <w:rsid w:val="00E325BD"/>
    <w:pPr>
      <w:numPr>
        <w:ilvl w:val="12"/>
      </w:numPr>
      <w:spacing w:before="240" w:after="0" w:line="240" w:lineRule="auto"/>
    </w:pPr>
    <w:rPr>
      <w:rFonts w:ascii="Times New Roman" w:eastAsia="Times New Roman" w:hAnsi="Times New Roman" w:cs="Times New Roman"/>
      <w:sz w:val="24"/>
      <w:szCs w:val="20"/>
      <w:lang w:val="en-AU" w:eastAsia="en-AU"/>
    </w:rPr>
  </w:style>
  <w:style w:type="character" w:customStyle="1" w:styleId="ParagraphChar">
    <w:name w:val="Paragraph Char"/>
    <w:link w:val="Paragraph"/>
    <w:rsid w:val="00E325BD"/>
    <w:rPr>
      <w:rFonts w:ascii="Times New Roman" w:eastAsia="Times New Roman" w:hAnsi="Times New Roman" w:cs="Times New Roman"/>
      <w:sz w:val="24"/>
      <w:szCs w:val="20"/>
      <w:lang w:val="en-AU" w:eastAsia="en-AU"/>
    </w:rPr>
  </w:style>
  <w:style w:type="character" w:customStyle="1" w:styleId="Ttulo1Car">
    <w:name w:val="Título 1 Car"/>
    <w:basedOn w:val="Fuentedeprrafopredeter"/>
    <w:link w:val="Ttulo1"/>
    <w:uiPriority w:val="9"/>
    <w:rsid w:val="00776C96"/>
    <w:rPr>
      <w:rFonts w:ascii="Times New Roman" w:eastAsia="Times New Roman" w:hAnsi="Times New Roman" w:cs="Times New Roman"/>
      <w:b/>
      <w:bCs/>
      <w:kern w:val="36"/>
      <w:sz w:val="48"/>
      <w:szCs w:val="48"/>
      <w:lang w:val="en-AU" w:eastAsia="en-AU"/>
    </w:rPr>
  </w:style>
  <w:style w:type="character" w:customStyle="1" w:styleId="Ttulo2Car">
    <w:name w:val="Título 2 Car"/>
    <w:basedOn w:val="Fuentedeprrafopredeter"/>
    <w:link w:val="Ttulo2"/>
    <w:uiPriority w:val="9"/>
    <w:rsid w:val="00F20B6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9985">
      <w:bodyDiv w:val="1"/>
      <w:marLeft w:val="0"/>
      <w:marRight w:val="0"/>
      <w:marTop w:val="0"/>
      <w:marBottom w:val="0"/>
      <w:divBdr>
        <w:top w:val="none" w:sz="0" w:space="0" w:color="auto"/>
        <w:left w:val="none" w:sz="0" w:space="0" w:color="auto"/>
        <w:bottom w:val="none" w:sz="0" w:space="0" w:color="auto"/>
        <w:right w:val="none" w:sz="0" w:space="0" w:color="auto"/>
      </w:divBdr>
    </w:div>
    <w:div w:id="776339733">
      <w:bodyDiv w:val="1"/>
      <w:marLeft w:val="0"/>
      <w:marRight w:val="0"/>
      <w:marTop w:val="0"/>
      <w:marBottom w:val="0"/>
      <w:divBdr>
        <w:top w:val="none" w:sz="0" w:space="0" w:color="auto"/>
        <w:left w:val="none" w:sz="0" w:space="0" w:color="auto"/>
        <w:bottom w:val="none" w:sz="0" w:space="0" w:color="auto"/>
        <w:right w:val="none" w:sz="0" w:space="0" w:color="auto"/>
      </w:divBdr>
    </w:div>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169951986">
      <w:bodyDiv w:val="1"/>
      <w:marLeft w:val="0"/>
      <w:marRight w:val="0"/>
      <w:marTop w:val="0"/>
      <w:marBottom w:val="0"/>
      <w:divBdr>
        <w:top w:val="none" w:sz="0" w:space="0" w:color="auto"/>
        <w:left w:val="none" w:sz="0" w:space="0" w:color="auto"/>
        <w:bottom w:val="none" w:sz="0" w:space="0" w:color="auto"/>
        <w:right w:val="none" w:sz="0" w:space="0" w:color="auto"/>
      </w:divBdr>
    </w:div>
    <w:div w:id="1203638179">
      <w:bodyDiv w:val="1"/>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547"/>
          <w:marRight w:val="0"/>
          <w:marTop w:val="200"/>
          <w:marBottom w:val="0"/>
          <w:divBdr>
            <w:top w:val="none" w:sz="0" w:space="0" w:color="auto"/>
            <w:left w:val="none" w:sz="0" w:space="0" w:color="auto"/>
            <w:bottom w:val="none" w:sz="0" w:space="0" w:color="auto"/>
            <w:right w:val="none" w:sz="0" w:space="0" w:color="auto"/>
          </w:divBdr>
        </w:div>
        <w:div w:id="464012641">
          <w:marLeft w:val="1267"/>
          <w:marRight w:val="0"/>
          <w:marTop w:val="100"/>
          <w:marBottom w:val="0"/>
          <w:divBdr>
            <w:top w:val="none" w:sz="0" w:space="0" w:color="auto"/>
            <w:left w:val="none" w:sz="0" w:space="0" w:color="auto"/>
            <w:bottom w:val="none" w:sz="0" w:space="0" w:color="auto"/>
            <w:right w:val="none" w:sz="0" w:space="0" w:color="auto"/>
          </w:divBdr>
        </w:div>
        <w:div w:id="1634409979">
          <w:marLeft w:val="547"/>
          <w:marRight w:val="0"/>
          <w:marTop w:val="200"/>
          <w:marBottom w:val="0"/>
          <w:divBdr>
            <w:top w:val="none" w:sz="0" w:space="0" w:color="auto"/>
            <w:left w:val="none" w:sz="0" w:space="0" w:color="auto"/>
            <w:bottom w:val="none" w:sz="0" w:space="0" w:color="auto"/>
            <w:right w:val="none" w:sz="0" w:space="0" w:color="auto"/>
          </w:divBdr>
        </w:div>
        <w:div w:id="948969570">
          <w:marLeft w:val="1267"/>
          <w:marRight w:val="0"/>
          <w:marTop w:val="100"/>
          <w:marBottom w:val="0"/>
          <w:divBdr>
            <w:top w:val="none" w:sz="0" w:space="0" w:color="auto"/>
            <w:left w:val="none" w:sz="0" w:space="0" w:color="auto"/>
            <w:bottom w:val="none" w:sz="0" w:space="0" w:color="auto"/>
            <w:right w:val="none" w:sz="0" w:space="0" w:color="auto"/>
          </w:divBdr>
        </w:div>
        <w:div w:id="1745224797">
          <w:marLeft w:val="547"/>
          <w:marRight w:val="0"/>
          <w:marTop w:val="200"/>
          <w:marBottom w:val="0"/>
          <w:divBdr>
            <w:top w:val="none" w:sz="0" w:space="0" w:color="auto"/>
            <w:left w:val="none" w:sz="0" w:space="0" w:color="auto"/>
            <w:bottom w:val="none" w:sz="0" w:space="0" w:color="auto"/>
            <w:right w:val="none" w:sz="0" w:space="0" w:color="auto"/>
          </w:divBdr>
        </w:div>
        <w:div w:id="1858275521">
          <w:marLeft w:val="547"/>
          <w:marRight w:val="0"/>
          <w:marTop w:val="200"/>
          <w:marBottom w:val="0"/>
          <w:divBdr>
            <w:top w:val="none" w:sz="0" w:space="0" w:color="auto"/>
            <w:left w:val="none" w:sz="0" w:space="0" w:color="auto"/>
            <w:bottom w:val="none" w:sz="0" w:space="0" w:color="auto"/>
            <w:right w:val="none" w:sz="0" w:space="0" w:color="auto"/>
          </w:divBdr>
        </w:div>
        <w:div w:id="1320426303">
          <w:marLeft w:val="547"/>
          <w:marRight w:val="0"/>
          <w:marTop w:val="200"/>
          <w:marBottom w:val="0"/>
          <w:divBdr>
            <w:top w:val="none" w:sz="0" w:space="0" w:color="auto"/>
            <w:left w:val="none" w:sz="0" w:space="0" w:color="auto"/>
            <w:bottom w:val="none" w:sz="0" w:space="0" w:color="auto"/>
            <w:right w:val="none" w:sz="0" w:space="0" w:color="auto"/>
          </w:divBdr>
        </w:div>
      </w:divsChild>
    </w:div>
    <w:div w:id="1335304533">
      <w:bodyDiv w:val="1"/>
      <w:marLeft w:val="0"/>
      <w:marRight w:val="0"/>
      <w:marTop w:val="0"/>
      <w:marBottom w:val="0"/>
      <w:divBdr>
        <w:top w:val="none" w:sz="0" w:space="0" w:color="auto"/>
        <w:left w:val="none" w:sz="0" w:space="0" w:color="auto"/>
        <w:bottom w:val="none" w:sz="0" w:space="0" w:color="auto"/>
        <w:right w:val="none" w:sz="0" w:space="0" w:color="auto"/>
      </w:divBdr>
      <w:divsChild>
        <w:div w:id="1648506911">
          <w:marLeft w:val="547"/>
          <w:marRight w:val="0"/>
          <w:marTop w:val="200"/>
          <w:marBottom w:val="0"/>
          <w:divBdr>
            <w:top w:val="none" w:sz="0" w:space="0" w:color="auto"/>
            <w:left w:val="none" w:sz="0" w:space="0" w:color="auto"/>
            <w:bottom w:val="none" w:sz="0" w:space="0" w:color="auto"/>
            <w:right w:val="none" w:sz="0" w:space="0" w:color="auto"/>
          </w:divBdr>
        </w:div>
        <w:div w:id="1200781813">
          <w:marLeft w:val="1267"/>
          <w:marRight w:val="0"/>
          <w:marTop w:val="100"/>
          <w:marBottom w:val="0"/>
          <w:divBdr>
            <w:top w:val="none" w:sz="0" w:space="0" w:color="auto"/>
            <w:left w:val="none" w:sz="0" w:space="0" w:color="auto"/>
            <w:bottom w:val="none" w:sz="0" w:space="0" w:color="auto"/>
            <w:right w:val="none" w:sz="0" w:space="0" w:color="auto"/>
          </w:divBdr>
        </w:div>
        <w:div w:id="1168054452">
          <w:marLeft w:val="547"/>
          <w:marRight w:val="0"/>
          <w:marTop w:val="200"/>
          <w:marBottom w:val="0"/>
          <w:divBdr>
            <w:top w:val="none" w:sz="0" w:space="0" w:color="auto"/>
            <w:left w:val="none" w:sz="0" w:space="0" w:color="auto"/>
            <w:bottom w:val="none" w:sz="0" w:space="0" w:color="auto"/>
            <w:right w:val="none" w:sz="0" w:space="0" w:color="auto"/>
          </w:divBdr>
        </w:div>
        <w:div w:id="626083154">
          <w:marLeft w:val="1267"/>
          <w:marRight w:val="0"/>
          <w:marTop w:val="100"/>
          <w:marBottom w:val="0"/>
          <w:divBdr>
            <w:top w:val="none" w:sz="0" w:space="0" w:color="auto"/>
            <w:left w:val="none" w:sz="0" w:space="0" w:color="auto"/>
            <w:bottom w:val="none" w:sz="0" w:space="0" w:color="auto"/>
            <w:right w:val="none" w:sz="0" w:space="0" w:color="auto"/>
          </w:divBdr>
        </w:div>
        <w:div w:id="1303536131">
          <w:marLeft w:val="547"/>
          <w:marRight w:val="0"/>
          <w:marTop w:val="200"/>
          <w:marBottom w:val="0"/>
          <w:divBdr>
            <w:top w:val="none" w:sz="0" w:space="0" w:color="auto"/>
            <w:left w:val="none" w:sz="0" w:space="0" w:color="auto"/>
            <w:bottom w:val="none" w:sz="0" w:space="0" w:color="auto"/>
            <w:right w:val="none" w:sz="0" w:space="0" w:color="auto"/>
          </w:divBdr>
        </w:div>
        <w:div w:id="758065832">
          <w:marLeft w:val="547"/>
          <w:marRight w:val="0"/>
          <w:marTop w:val="200"/>
          <w:marBottom w:val="0"/>
          <w:divBdr>
            <w:top w:val="none" w:sz="0" w:space="0" w:color="auto"/>
            <w:left w:val="none" w:sz="0" w:space="0" w:color="auto"/>
            <w:bottom w:val="none" w:sz="0" w:space="0" w:color="auto"/>
            <w:right w:val="none" w:sz="0" w:space="0" w:color="auto"/>
          </w:divBdr>
        </w:div>
        <w:div w:id="909385275">
          <w:marLeft w:val="547"/>
          <w:marRight w:val="0"/>
          <w:marTop w:val="200"/>
          <w:marBottom w:val="0"/>
          <w:divBdr>
            <w:top w:val="none" w:sz="0" w:space="0" w:color="auto"/>
            <w:left w:val="none" w:sz="0" w:space="0" w:color="auto"/>
            <w:bottom w:val="none" w:sz="0" w:space="0" w:color="auto"/>
            <w:right w:val="none" w:sz="0" w:space="0" w:color="auto"/>
          </w:divBdr>
        </w:div>
      </w:divsChild>
    </w:div>
    <w:div w:id="1603797671">
      <w:bodyDiv w:val="1"/>
      <w:marLeft w:val="0"/>
      <w:marRight w:val="0"/>
      <w:marTop w:val="0"/>
      <w:marBottom w:val="0"/>
      <w:divBdr>
        <w:top w:val="none" w:sz="0" w:space="0" w:color="auto"/>
        <w:left w:val="none" w:sz="0" w:space="0" w:color="auto"/>
        <w:bottom w:val="none" w:sz="0" w:space="0" w:color="auto"/>
        <w:right w:val="none" w:sz="0" w:space="0" w:color="auto"/>
      </w:divBdr>
    </w:div>
    <w:div w:id="1653173157">
      <w:bodyDiv w:val="1"/>
      <w:marLeft w:val="0"/>
      <w:marRight w:val="0"/>
      <w:marTop w:val="0"/>
      <w:marBottom w:val="0"/>
      <w:divBdr>
        <w:top w:val="none" w:sz="0" w:space="0" w:color="auto"/>
        <w:left w:val="none" w:sz="0" w:space="0" w:color="auto"/>
        <w:bottom w:val="none" w:sz="0" w:space="0" w:color="auto"/>
        <w:right w:val="none" w:sz="0" w:space="0" w:color="auto"/>
      </w:divBdr>
    </w:div>
    <w:div w:id="1721635997">
      <w:bodyDiv w:val="1"/>
      <w:marLeft w:val="0"/>
      <w:marRight w:val="0"/>
      <w:marTop w:val="0"/>
      <w:marBottom w:val="0"/>
      <w:divBdr>
        <w:top w:val="none" w:sz="0" w:space="0" w:color="auto"/>
        <w:left w:val="none" w:sz="0" w:space="0" w:color="auto"/>
        <w:bottom w:val="none" w:sz="0" w:space="0" w:color="auto"/>
        <w:right w:val="none" w:sz="0" w:space="0" w:color="auto"/>
      </w:divBdr>
    </w:div>
    <w:div w:id="1919434054">
      <w:bodyDiv w:val="1"/>
      <w:marLeft w:val="0"/>
      <w:marRight w:val="0"/>
      <w:marTop w:val="0"/>
      <w:marBottom w:val="0"/>
      <w:divBdr>
        <w:top w:val="none" w:sz="0" w:space="0" w:color="auto"/>
        <w:left w:val="none" w:sz="0" w:space="0" w:color="auto"/>
        <w:bottom w:val="none" w:sz="0" w:space="0" w:color="auto"/>
        <w:right w:val="none" w:sz="0" w:space="0" w:color="auto"/>
      </w:divBdr>
    </w:div>
    <w:div w:id="1944993930">
      <w:bodyDiv w:val="1"/>
      <w:marLeft w:val="0"/>
      <w:marRight w:val="0"/>
      <w:marTop w:val="0"/>
      <w:marBottom w:val="0"/>
      <w:divBdr>
        <w:top w:val="none" w:sz="0" w:space="0" w:color="auto"/>
        <w:left w:val="none" w:sz="0" w:space="0" w:color="auto"/>
        <w:bottom w:val="none" w:sz="0" w:space="0" w:color="auto"/>
        <w:right w:val="none" w:sz="0" w:space="0" w:color="auto"/>
      </w:divBdr>
    </w:div>
    <w:div w:id="20798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rporate@oaic.gov.au" TargetMode="External"/><Relationship Id="rId18" Type="http://schemas.openxmlformats.org/officeDocument/2006/relationships/hyperlink" Target="https://www.oaic.gov.au/privacy/notifiable-data-breaches" TargetMode="External"/><Relationship Id="rId26" Type="http://schemas.openxmlformats.org/officeDocument/2006/relationships/hyperlink" Target="https://www.zdnet.com/article/464-australian-data-breaches-reported-to-the-oaic-in-latter-half-of-2021/" TargetMode="External"/><Relationship Id="rId39" Type="http://schemas.openxmlformats.org/officeDocument/2006/relationships/header" Target="header2.xml"/><Relationship Id="rId21" Type="http://schemas.openxmlformats.org/officeDocument/2006/relationships/hyperlink" Target="https://www.oaic.gov.au/about-us/translations/easy-english" TargetMode="External"/><Relationship Id="rId34" Type="http://schemas.openxmlformats.org/officeDocument/2006/relationships/hyperlink" Target="https://psnews.com.au/2022/02/24/call-for-data-handlers-to-take-more-care/?state=ap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oaic.gov.au/privacy/notifiable-data-breaches/notifiable-data-breaches-statistics/notifiable-data-breaches-report-july-december-2021" TargetMode="External"/><Relationship Id="rId20" Type="http://schemas.openxmlformats.org/officeDocument/2006/relationships/hyperlink" Target="https://www.oaic.gov.au/privacy/data-breaches/act-quickly-if-you-are-affected-by-a-data-breach" TargetMode="External"/><Relationship Id="rId29" Type="http://schemas.openxmlformats.org/officeDocument/2006/relationships/hyperlink" Target="https://www.innovationaus.com/data-breaches-on-the-rise-in-second-half-of-20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image" Target="media/image1.png"/><Relationship Id="rId32" Type="http://schemas.openxmlformats.org/officeDocument/2006/relationships/hyperlink" Target="https://www.themandarin.com.au/182449-data-breaches-rise-but-fewer-occur-in-federal-agencie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aic.gov.au/privacy/notifiable-data-breaches" TargetMode="External"/><Relationship Id="rId23" Type="http://schemas.openxmlformats.org/officeDocument/2006/relationships/hyperlink" Target="https://www.oaic.gov.au/privacy/notifiable-data-breaches/notifiable-data-breaches-statistics/notifiable-data-breaches-report-july-december-2021" TargetMode="External"/><Relationship Id="rId28" Type="http://schemas.openxmlformats.org/officeDocument/2006/relationships/hyperlink" Target="https://www.gizmodo.com.au/2022/02/health-sector-data-breaches-oaic-report/" TargetMode="External"/><Relationship Id="rId36" Type="http://schemas.openxmlformats.org/officeDocument/2006/relationships/hyperlink" Target="https://www.linkedin.com/feed/update/urn:li:activity:6901651133610258432" TargetMode="External"/><Relationship Id="rId10" Type="http://schemas.openxmlformats.org/officeDocument/2006/relationships/endnotes" Target="endnotes.xml"/><Relationship Id="rId19" Type="http://schemas.openxmlformats.org/officeDocument/2006/relationships/hyperlink" Target="https://www.oaic.gov.au/privacy/data-breaches" TargetMode="External"/><Relationship Id="rId31" Type="http://schemas.openxmlformats.org/officeDocument/2006/relationships/hyperlink" Target="https://www.itwire.com/business-it-news/security/oaic-report-reveals-464-reported-breaches-2h-2021,-17-from-emailing-pii-to-the-wrong-pers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aic.gov.au/privacy/notifiable-data-breaches/notifiable-data-breaches-statistics" TargetMode="External"/><Relationship Id="rId22" Type="http://schemas.openxmlformats.org/officeDocument/2006/relationships/hyperlink" Target="https://www.oaic.gov.au/privacy/notifiable-data-breaches/notifiable-data-breaches-statistics/" TargetMode="External"/><Relationship Id="rId27" Type="http://schemas.openxmlformats.org/officeDocument/2006/relationships/hyperlink" Target="https://itbrief.com.au/story/australian-data-breach-statistics-revealed-in-oaic-report" TargetMode="External"/><Relationship Id="rId30" Type="http://schemas.openxmlformats.org/officeDocument/2006/relationships/hyperlink" Target="https://www.hospitalhealth.com.au/content/technology/news/health-remains-most-breached-sector-human-errors-rise-by-43--772525017" TargetMode="External"/><Relationship Id="rId35" Type="http://schemas.openxmlformats.org/officeDocument/2006/relationships/hyperlink" Target="https://www.arnnet.com.au/article/695701/data-breach-notifications-rise-does-organisation-accountability-oai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drew.stokes@oaic.gov.au" TargetMode="External"/><Relationship Id="rId17" Type="http://schemas.openxmlformats.org/officeDocument/2006/relationships/hyperlink" Target="https://www.oaic.gov.au/updates/news-and-media/focus-on-accountability-to-prevent-data-breaches" TargetMode="External"/><Relationship Id="rId25" Type="http://schemas.openxmlformats.org/officeDocument/2006/relationships/hyperlink" Target="https://www.oaic.gov.au/privacy/notifiable-data-breaches/notifiable-data-breaches-statistics" TargetMode="External"/><Relationship Id="rId33" Type="http://schemas.openxmlformats.org/officeDocument/2006/relationships/hyperlink" Target="https://www.insurancenews.com.au/daily/industry-target-of-malicious-criminal-attacks" TargetMode="External"/><Relationship Id="rId3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E0751-3F89-407F-B557-A1264B13752B}">
  <ds:schemaRefs>
    <ds:schemaRef ds:uri="http://schemas.microsoft.com/sharepoint/v3/contenttype/forms"/>
  </ds:schemaRefs>
</ds:datastoreItem>
</file>

<file path=customXml/itemProps3.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1515</Words>
  <Characters>8334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2022-07-01T11:49:00Z</dcterms:created>
  <dcterms:modified xsi:type="dcterms:W3CDTF">2022-07-01T11:49:00Z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y fmtid="{D5CDD505-2E9C-101B-9397-08002B2CF9AE}" pid="29" name="MSIP_Label_79d889eb-932f-4752-8739-64d25806ef64_Enabled">
    <vt:lpwstr>true</vt:lpwstr>
  </property>
  <property fmtid="{D5CDD505-2E9C-101B-9397-08002B2CF9AE}" pid="30" name="MSIP_Label_79d889eb-932f-4752-8739-64d25806ef64_SetDate">
    <vt:lpwstr>2022-06-06T23:27:41Z</vt:lpwstr>
  </property>
  <property fmtid="{D5CDD505-2E9C-101B-9397-08002B2CF9AE}" pid="31" name="MSIP_Label_79d889eb-932f-4752-8739-64d25806ef64_Method">
    <vt:lpwstr>Privileged</vt:lpwstr>
  </property>
  <property fmtid="{D5CDD505-2E9C-101B-9397-08002B2CF9AE}" pid="32" name="MSIP_Label_79d889eb-932f-4752-8739-64d25806ef64_Name">
    <vt:lpwstr>79d889eb-932f-4752-8739-64d25806ef64</vt:lpwstr>
  </property>
  <property fmtid="{D5CDD505-2E9C-101B-9397-08002B2CF9AE}" pid="33" name="MSIP_Label_79d889eb-932f-4752-8739-64d25806ef64_SiteId">
    <vt:lpwstr>dd0cfd15-4558-4b12-8bad-ea26984fc417</vt:lpwstr>
  </property>
  <property fmtid="{D5CDD505-2E9C-101B-9397-08002B2CF9AE}" pid="34" name="MSIP_Label_79d889eb-932f-4752-8739-64d25806ef64_ActionId">
    <vt:lpwstr>884c1d54-fb11-49ff-9fbc-a210ebb50961</vt:lpwstr>
  </property>
  <property fmtid="{D5CDD505-2E9C-101B-9397-08002B2CF9AE}" pid="35" name="MSIP_Label_79d889eb-932f-4752-8739-64d25806ef64_ContentBits">
    <vt:lpwstr>0</vt:lpwstr>
  </property>
</Properties>
</file>