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1545" w14:textId="15B2CD8C" w:rsidR="005D7CE4" w:rsidRDefault="00000000">
      <w:pPr>
        <w:rPr>
          <w:b/>
          <w:bCs/>
        </w:rPr>
      </w:pPr>
      <w:bookmarkStart w:id="0" w:name="_Hlk118479644"/>
      <w:bookmarkEnd w:id="0"/>
    </w:p>
    <w:p w14:paraId="078421DE" w14:textId="7314095A" w:rsidR="00554016" w:rsidRDefault="00554016">
      <w:pPr>
        <w:rPr>
          <w:b/>
          <w:bCs/>
        </w:rPr>
      </w:pPr>
    </w:p>
    <w:p w14:paraId="62B7BB61" w14:textId="3D9C517A" w:rsidR="00554016" w:rsidRDefault="00554016">
      <w:pPr>
        <w:rPr>
          <w:b/>
          <w:bCs/>
        </w:rPr>
      </w:pPr>
    </w:p>
    <w:p w14:paraId="30EE9BF9" w14:textId="4CE27374" w:rsidR="00554016" w:rsidRDefault="00554016">
      <w:pPr>
        <w:rPr>
          <w:b/>
          <w:bCs/>
        </w:rPr>
      </w:pPr>
    </w:p>
    <w:p w14:paraId="2673F45F" w14:textId="4972A213" w:rsidR="00554016" w:rsidRDefault="00554016">
      <w:pPr>
        <w:rPr>
          <w:b/>
          <w:bCs/>
        </w:rPr>
      </w:pPr>
    </w:p>
    <w:p w14:paraId="4DC08A45" w14:textId="6E854AF6" w:rsidR="00554016" w:rsidRDefault="00554016">
      <w:pPr>
        <w:rPr>
          <w:b/>
          <w:bCs/>
        </w:rPr>
      </w:pPr>
    </w:p>
    <w:p w14:paraId="0A99ADAA" w14:textId="44A8149F" w:rsidR="00554016" w:rsidRDefault="00554016">
      <w:pPr>
        <w:rPr>
          <w:b/>
          <w:bCs/>
        </w:rPr>
      </w:pPr>
    </w:p>
    <w:p w14:paraId="7F2BE4A2" w14:textId="51EF28FD" w:rsidR="00554016" w:rsidRDefault="00554016">
      <w:pPr>
        <w:rPr>
          <w:b/>
          <w:bCs/>
        </w:rPr>
      </w:pPr>
    </w:p>
    <w:p w14:paraId="5F0461C7" w14:textId="4627F066" w:rsidR="00554016" w:rsidRDefault="00554016">
      <w:pPr>
        <w:rPr>
          <w:b/>
          <w:bCs/>
        </w:rPr>
      </w:pPr>
    </w:p>
    <w:p w14:paraId="053E627C" w14:textId="77777777" w:rsidR="00554016" w:rsidRDefault="00554016">
      <w:pPr>
        <w:rPr>
          <w:b/>
          <w:bCs/>
        </w:rPr>
      </w:pPr>
    </w:p>
    <w:p w14:paraId="7905FD31" w14:textId="193EBC39" w:rsidR="00366358" w:rsidRPr="00554016" w:rsidRDefault="00366358" w:rsidP="00366358">
      <w:pPr>
        <w:jc w:val="center"/>
        <w:rPr>
          <w:rFonts w:asciiTheme="minorHAnsi" w:hAnsiTheme="minorHAnsi" w:cstheme="minorHAnsi"/>
          <w:b/>
          <w:bCs/>
          <w:sz w:val="32"/>
          <w:szCs w:val="28"/>
        </w:rPr>
      </w:pPr>
      <w:r w:rsidRPr="00554016">
        <w:rPr>
          <w:rFonts w:asciiTheme="minorHAnsi" w:hAnsiTheme="minorHAnsi" w:cstheme="minorHAnsi"/>
          <w:b/>
          <w:bCs/>
          <w:sz w:val="32"/>
          <w:szCs w:val="28"/>
        </w:rPr>
        <w:t>Guidelines for Applicant Authorities to Host the GPA Secretariat</w:t>
      </w:r>
    </w:p>
    <w:p w14:paraId="16C7914E" w14:textId="70197C81" w:rsidR="00366358" w:rsidRPr="00554016" w:rsidRDefault="00366358" w:rsidP="00366358">
      <w:pPr>
        <w:jc w:val="center"/>
        <w:rPr>
          <w:rFonts w:asciiTheme="minorHAnsi" w:hAnsiTheme="minorHAnsi" w:cstheme="minorHAnsi"/>
          <w:sz w:val="32"/>
          <w:szCs w:val="28"/>
        </w:rPr>
      </w:pPr>
      <w:r w:rsidRPr="00554016">
        <w:rPr>
          <w:rFonts w:asciiTheme="minorHAnsi" w:hAnsiTheme="minorHAnsi" w:cstheme="minorHAnsi"/>
          <w:b/>
          <w:bCs/>
          <w:sz w:val="32"/>
          <w:szCs w:val="28"/>
        </w:rPr>
        <w:t>First Application Cycle – Secretariat Host 2024</w:t>
      </w:r>
      <w:r w:rsidR="00554016" w:rsidRPr="00554016">
        <w:rPr>
          <w:rFonts w:asciiTheme="minorHAnsi" w:hAnsiTheme="minorHAnsi" w:cstheme="minorHAnsi"/>
          <w:b/>
          <w:bCs/>
          <w:sz w:val="32"/>
          <w:szCs w:val="28"/>
        </w:rPr>
        <w:t>-2026/28</w:t>
      </w:r>
    </w:p>
    <w:p w14:paraId="1CCA42CC" w14:textId="4554D1F7" w:rsidR="00554016" w:rsidRDefault="00554016" w:rsidP="00554016">
      <w:pPr>
        <w:rPr>
          <w:rFonts w:asciiTheme="minorHAnsi" w:hAnsiTheme="minorHAnsi" w:cstheme="minorHAnsi"/>
        </w:rPr>
      </w:pPr>
    </w:p>
    <w:p w14:paraId="6207BCEE" w14:textId="5DE7EC3F" w:rsidR="00554016" w:rsidRDefault="00554016" w:rsidP="00554016">
      <w:pPr>
        <w:rPr>
          <w:rFonts w:asciiTheme="minorHAnsi" w:hAnsiTheme="minorHAnsi" w:cstheme="minorHAnsi"/>
        </w:rPr>
      </w:pPr>
    </w:p>
    <w:p w14:paraId="255F1B68" w14:textId="4CAB3B8C" w:rsidR="00554016" w:rsidRDefault="00554016" w:rsidP="00554016">
      <w:pPr>
        <w:rPr>
          <w:rFonts w:asciiTheme="minorHAnsi" w:hAnsiTheme="minorHAnsi" w:cstheme="minorHAnsi"/>
        </w:rPr>
      </w:pPr>
    </w:p>
    <w:p w14:paraId="601850BC" w14:textId="1FDE2533" w:rsidR="00554016" w:rsidRDefault="00554016" w:rsidP="00554016">
      <w:pPr>
        <w:rPr>
          <w:rFonts w:asciiTheme="minorHAnsi" w:hAnsiTheme="minorHAnsi" w:cstheme="minorHAnsi"/>
        </w:rPr>
      </w:pPr>
    </w:p>
    <w:p w14:paraId="2845D465" w14:textId="19F1E961" w:rsidR="00554016" w:rsidRDefault="00554016" w:rsidP="00554016">
      <w:pPr>
        <w:rPr>
          <w:rFonts w:asciiTheme="minorHAnsi" w:hAnsiTheme="minorHAnsi" w:cstheme="minorHAnsi"/>
        </w:rPr>
      </w:pPr>
    </w:p>
    <w:p w14:paraId="7092FB0A" w14:textId="51B58F70" w:rsidR="00554016" w:rsidRDefault="00554016" w:rsidP="00554016">
      <w:pPr>
        <w:rPr>
          <w:rFonts w:asciiTheme="minorHAnsi" w:hAnsiTheme="minorHAnsi" w:cstheme="minorHAnsi"/>
        </w:rPr>
      </w:pPr>
    </w:p>
    <w:p w14:paraId="3D4CAF9A" w14:textId="41F980B6" w:rsidR="00554016" w:rsidRDefault="00554016" w:rsidP="00554016">
      <w:pPr>
        <w:rPr>
          <w:rFonts w:asciiTheme="minorHAnsi" w:hAnsiTheme="minorHAnsi" w:cstheme="minorHAnsi"/>
        </w:rPr>
      </w:pPr>
    </w:p>
    <w:p w14:paraId="1BCB90D3" w14:textId="6B7FA5CC" w:rsidR="00554016" w:rsidRDefault="00554016" w:rsidP="00554016">
      <w:pPr>
        <w:rPr>
          <w:rFonts w:asciiTheme="minorHAnsi" w:hAnsiTheme="minorHAnsi" w:cstheme="minorHAnsi"/>
        </w:rPr>
      </w:pPr>
    </w:p>
    <w:p w14:paraId="1B087753" w14:textId="2ED67A81" w:rsidR="00554016" w:rsidRDefault="00554016" w:rsidP="00554016">
      <w:pPr>
        <w:rPr>
          <w:rFonts w:asciiTheme="minorHAnsi" w:hAnsiTheme="minorHAnsi" w:cstheme="minorHAnsi"/>
        </w:rPr>
      </w:pPr>
    </w:p>
    <w:p w14:paraId="7526680C" w14:textId="5D72959C" w:rsidR="00554016" w:rsidRDefault="00554016" w:rsidP="00554016">
      <w:pPr>
        <w:rPr>
          <w:rFonts w:asciiTheme="minorHAnsi" w:hAnsiTheme="minorHAnsi" w:cstheme="minorHAnsi"/>
        </w:rPr>
      </w:pPr>
    </w:p>
    <w:p w14:paraId="0FE26841" w14:textId="7BC62C46" w:rsidR="00554016" w:rsidRDefault="00554016" w:rsidP="00554016">
      <w:pPr>
        <w:rPr>
          <w:rFonts w:asciiTheme="minorHAnsi" w:hAnsiTheme="minorHAnsi" w:cstheme="minorHAnsi"/>
        </w:rPr>
      </w:pPr>
    </w:p>
    <w:p w14:paraId="7C9D6F23" w14:textId="3EBD9FB4" w:rsidR="00554016" w:rsidRDefault="00554016" w:rsidP="00554016">
      <w:pPr>
        <w:rPr>
          <w:rFonts w:asciiTheme="minorHAnsi" w:hAnsiTheme="minorHAnsi" w:cstheme="minorHAnsi"/>
        </w:rPr>
      </w:pPr>
    </w:p>
    <w:p w14:paraId="0BA49E53" w14:textId="455A9923" w:rsidR="00554016" w:rsidRDefault="00554016" w:rsidP="00554016">
      <w:pPr>
        <w:rPr>
          <w:rFonts w:asciiTheme="minorHAnsi" w:hAnsiTheme="minorHAnsi" w:cstheme="minorHAnsi"/>
        </w:rPr>
      </w:pPr>
    </w:p>
    <w:p w14:paraId="4602F9B2" w14:textId="58DE3360" w:rsidR="00554016" w:rsidRDefault="00554016" w:rsidP="00554016">
      <w:pPr>
        <w:rPr>
          <w:rFonts w:asciiTheme="minorHAnsi" w:hAnsiTheme="minorHAnsi" w:cstheme="minorHAnsi"/>
          <w:b/>
          <w:bCs/>
        </w:rPr>
      </w:pPr>
    </w:p>
    <w:p w14:paraId="5F65D339" w14:textId="32EEA1E1" w:rsidR="00554016" w:rsidRPr="002F19DB" w:rsidRDefault="00554016" w:rsidP="00554016">
      <w:pPr>
        <w:rPr>
          <w:rFonts w:asciiTheme="minorHAnsi" w:hAnsiTheme="minorHAnsi" w:cstheme="minorHAnsi"/>
          <w:sz w:val="22"/>
          <w:szCs w:val="20"/>
        </w:rPr>
      </w:pPr>
      <w:r w:rsidRPr="002F19DB">
        <w:rPr>
          <w:rFonts w:asciiTheme="minorHAnsi" w:hAnsiTheme="minorHAnsi" w:cstheme="minorHAnsi"/>
          <w:sz w:val="22"/>
          <w:szCs w:val="20"/>
        </w:rPr>
        <w:t xml:space="preserve">Written by </w:t>
      </w:r>
      <w:r w:rsidR="002F19DB">
        <w:rPr>
          <w:rFonts w:asciiTheme="minorHAnsi" w:hAnsiTheme="minorHAnsi" w:cstheme="minorHAnsi"/>
          <w:sz w:val="22"/>
          <w:szCs w:val="20"/>
        </w:rPr>
        <w:t xml:space="preserve">the </w:t>
      </w:r>
      <w:r w:rsidRPr="002F19DB">
        <w:rPr>
          <w:rFonts w:asciiTheme="minorHAnsi" w:hAnsiTheme="minorHAnsi" w:cstheme="minorHAnsi"/>
          <w:sz w:val="22"/>
          <w:szCs w:val="20"/>
        </w:rPr>
        <w:t xml:space="preserve">Secretariat Selection Committee: </w:t>
      </w:r>
      <w:r w:rsidRPr="001D6A5D">
        <w:rPr>
          <w:rFonts w:asciiTheme="minorHAnsi" w:hAnsiTheme="minorHAnsi" w:cstheme="minorHAnsi"/>
          <w:sz w:val="22"/>
          <w:szCs w:val="20"/>
        </w:rPr>
        <w:t>[</w:t>
      </w:r>
      <w:r w:rsidR="001D6A5D" w:rsidRPr="001D6A5D">
        <w:rPr>
          <w:rFonts w:asciiTheme="minorHAnsi" w:hAnsiTheme="minorHAnsi" w:cstheme="minorHAnsi"/>
          <w:sz w:val="22"/>
          <w:szCs w:val="20"/>
        </w:rPr>
        <w:t>November 11</w:t>
      </w:r>
      <w:r w:rsidR="001D6A5D" w:rsidRPr="001D6A5D">
        <w:rPr>
          <w:rFonts w:asciiTheme="minorHAnsi" w:hAnsiTheme="minorHAnsi" w:cstheme="minorHAnsi"/>
          <w:sz w:val="22"/>
          <w:szCs w:val="20"/>
          <w:vertAlign w:val="superscript"/>
        </w:rPr>
        <w:t>th</w:t>
      </w:r>
      <w:r w:rsidR="001D6A5D" w:rsidRPr="001D6A5D">
        <w:rPr>
          <w:rFonts w:asciiTheme="minorHAnsi" w:hAnsiTheme="minorHAnsi" w:cstheme="minorHAnsi"/>
          <w:sz w:val="22"/>
          <w:szCs w:val="20"/>
        </w:rPr>
        <w:t>, 2022</w:t>
      </w:r>
      <w:r w:rsidRPr="001D6A5D">
        <w:rPr>
          <w:rFonts w:asciiTheme="minorHAnsi" w:hAnsiTheme="minorHAnsi" w:cstheme="minorHAnsi"/>
          <w:sz w:val="22"/>
          <w:szCs w:val="20"/>
        </w:rPr>
        <w:t>]</w:t>
      </w:r>
    </w:p>
    <w:p w14:paraId="477076B3" w14:textId="1B87BB41" w:rsidR="00554016" w:rsidRPr="002F19DB" w:rsidRDefault="00554016" w:rsidP="002F19DB">
      <w:pPr>
        <w:pStyle w:val="Prrafodelista"/>
        <w:numPr>
          <w:ilvl w:val="0"/>
          <w:numId w:val="2"/>
        </w:numPr>
        <w:rPr>
          <w:rFonts w:asciiTheme="minorHAnsi" w:hAnsiTheme="minorHAnsi" w:cstheme="minorHAnsi"/>
          <w:b/>
          <w:bCs/>
        </w:rPr>
      </w:pPr>
      <w:r w:rsidRPr="002F19DB">
        <w:rPr>
          <w:rFonts w:asciiTheme="minorHAnsi" w:hAnsiTheme="minorHAnsi" w:cstheme="minorHAnsi"/>
          <w:b/>
          <w:bCs/>
        </w:rPr>
        <w:lastRenderedPageBreak/>
        <w:t>Introduction</w:t>
      </w:r>
    </w:p>
    <w:p w14:paraId="0DC3FAB4" w14:textId="7D5668D5" w:rsidR="0022691E" w:rsidRDefault="002B4DE6" w:rsidP="002B4DE6">
      <w:pPr>
        <w:rPr>
          <w:rFonts w:asciiTheme="minorHAnsi" w:hAnsiTheme="minorHAnsi" w:cstheme="minorHAnsi"/>
        </w:rPr>
      </w:pPr>
      <w:r>
        <w:rPr>
          <w:rFonts w:asciiTheme="minorHAnsi" w:hAnsiTheme="minorHAnsi" w:cstheme="minorHAnsi"/>
        </w:rPr>
        <w:t>These guidelines have been prepared by the Secretariat Selection Committee to</w:t>
      </w:r>
      <w:r w:rsidR="002445D6">
        <w:rPr>
          <w:rFonts w:asciiTheme="minorHAnsi" w:hAnsiTheme="minorHAnsi" w:cstheme="minorHAnsi"/>
        </w:rPr>
        <w:t xml:space="preserve"> assist authorities to understand the</w:t>
      </w:r>
      <w:r w:rsidR="00E53084">
        <w:rPr>
          <w:rFonts w:asciiTheme="minorHAnsi" w:hAnsiTheme="minorHAnsi" w:cstheme="minorHAnsi"/>
        </w:rPr>
        <w:t xml:space="preserve"> requirements and</w:t>
      </w:r>
      <w:r w:rsidR="002445D6">
        <w:rPr>
          <w:rFonts w:asciiTheme="minorHAnsi" w:hAnsiTheme="minorHAnsi" w:cstheme="minorHAnsi"/>
        </w:rPr>
        <w:t xml:space="preserve"> application </w:t>
      </w:r>
      <w:r w:rsidR="007C2450">
        <w:rPr>
          <w:rFonts w:asciiTheme="minorHAnsi" w:hAnsiTheme="minorHAnsi" w:cstheme="minorHAnsi"/>
        </w:rPr>
        <w:t xml:space="preserve">form </w:t>
      </w:r>
      <w:r w:rsidR="00EA0051">
        <w:rPr>
          <w:rFonts w:asciiTheme="minorHAnsi" w:hAnsiTheme="minorHAnsi" w:cstheme="minorHAnsi"/>
        </w:rPr>
        <w:t>for</w:t>
      </w:r>
      <w:r w:rsidR="00E53084">
        <w:rPr>
          <w:rFonts w:asciiTheme="minorHAnsi" w:hAnsiTheme="minorHAnsi" w:cstheme="minorHAnsi"/>
        </w:rPr>
        <w:t xml:space="preserve"> hosting the GPA Secretariat.</w:t>
      </w:r>
      <w:r w:rsidR="007C2450">
        <w:rPr>
          <w:rFonts w:asciiTheme="minorHAnsi" w:hAnsiTheme="minorHAnsi" w:cstheme="minorHAnsi"/>
        </w:rPr>
        <w:t xml:space="preserve"> The general requirements and roadmap towards a new funding model have already been agreed by the GPA Membership in its resolutions on the Future Funded Secretariat in 2021 and 2022. </w:t>
      </w:r>
    </w:p>
    <w:p w14:paraId="1FC754C6" w14:textId="7FFF053F" w:rsidR="00AB0F65" w:rsidRDefault="00AB0F65" w:rsidP="002B4DE6">
      <w:pPr>
        <w:rPr>
          <w:rFonts w:asciiTheme="minorHAnsi" w:hAnsiTheme="minorHAnsi" w:cstheme="minorHAnsi"/>
        </w:rPr>
      </w:pPr>
      <w:r>
        <w:rPr>
          <w:rFonts w:asciiTheme="minorHAnsi" w:hAnsiTheme="minorHAnsi" w:cstheme="minorHAnsi"/>
        </w:rPr>
        <w:t>This guidance sets out:</w:t>
      </w:r>
    </w:p>
    <w:p w14:paraId="39A8CAC7" w14:textId="3AAEEDEB" w:rsidR="00AB0F65" w:rsidRDefault="00AB0F65" w:rsidP="00AB0F65">
      <w:pPr>
        <w:pStyle w:val="Prrafodelista"/>
        <w:numPr>
          <w:ilvl w:val="0"/>
          <w:numId w:val="1"/>
        </w:numPr>
        <w:rPr>
          <w:rFonts w:asciiTheme="minorHAnsi" w:hAnsiTheme="minorHAnsi" w:cstheme="minorHAnsi"/>
        </w:rPr>
      </w:pPr>
      <w:r>
        <w:rPr>
          <w:rFonts w:asciiTheme="minorHAnsi" w:hAnsiTheme="minorHAnsi" w:cstheme="minorHAnsi"/>
        </w:rPr>
        <w:t xml:space="preserve">Explanations about the expectations for future GPA Secretariat Hosts; and </w:t>
      </w:r>
    </w:p>
    <w:p w14:paraId="75793BF1" w14:textId="6392E5DC" w:rsidR="00AB0F65" w:rsidRPr="00AB0F65" w:rsidRDefault="00AB0F65" w:rsidP="002B4DE6">
      <w:pPr>
        <w:pStyle w:val="Prrafodelista"/>
        <w:numPr>
          <w:ilvl w:val="0"/>
          <w:numId w:val="1"/>
        </w:numPr>
        <w:rPr>
          <w:rFonts w:asciiTheme="minorHAnsi" w:hAnsiTheme="minorHAnsi" w:cstheme="minorHAnsi"/>
        </w:rPr>
      </w:pPr>
      <w:r>
        <w:rPr>
          <w:rFonts w:asciiTheme="minorHAnsi" w:hAnsiTheme="minorHAnsi" w:cstheme="minorHAnsi"/>
        </w:rPr>
        <w:t>Guidance in filling in the application form</w:t>
      </w:r>
    </w:p>
    <w:p w14:paraId="1C3990FD" w14:textId="425D6270" w:rsidR="003570D1" w:rsidRDefault="00EA0051" w:rsidP="002B4DE6">
      <w:pPr>
        <w:rPr>
          <w:rFonts w:asciiTheme="minorHAnsi" w:hAnsiTheme="minorHAnsi" w:cstheme="minorHAnsi"/>
        </w:rPr>
      </w:pPr>
      <w:r>
        <w:rPr>
          <w:rFonts w:asciiTheme="minorHAnsi" w:hAnsiTheme="minorHAnsi" w:cstheme="minorHAnsi"/>
        </w:rPr>
        <w:t>Authorities that are considering applying to ho</w:t>
      </w:r>
      <w:r w:rsidR="009D1B1A">
        <w:rPr>
          <w:rFonts w:asciiTheme="minorHAnsi" w:hAnsiTheme="minorHAnsi" w:cstheme="minorHAnsi"/>
        </w:rPr>
        <w:t xml:space="preserve">st the GPA Secretariat are </w:t>
      </w:r>
      <w:r w:rsidR="009D1B1A" w:rsidRPr="001C1143">
        <w:rPr>
          <w:rFonts w:asciiTheme="minorHAnsi" w:hAnsiTheme="minorHAnsi" w:cstheme="minorHAnsi"/>
          <w:b/>
          <w:bCs/>
        </w:rPr>
        <w:t>strongly encouraged to carefully read this document</w:t>
      </w:r>
      <w:r w:rsidR="009D1B1A">
        <w:rPr>
          <w:rFonts w:asciiTheme="minorHAnsi" w:hAnsiTheme="minorHAnsi" w:cstheme="minorHAnsi"/>
        </w:rPr>
        <w:t xml:space="preserve"> prior to submitting their application.</w:t>
      </w:r>
      <w:r w:rsidR="00A43454">
        <w:rPr>
          <w:rFonts w:asciiTheme="minorHAnsi" w:hAnsiTheme="minorHAnsi" w:cstheme="minorHAnsi"/>
        </w:rPr>
        <w:t xml:space="preserve"> If you have any further questions, please contact the GPA Secretariat for more information.</w:t>
      </w:r>
    </w:p>
    <w:p w14:paraId="5331B461" w14:textId="2CDAA429" w:rsidR="005A0E54" w:rsidRDefault="005A0E54" w:rsidP="002B4DE6">
      <w:pPr>
        <w:rPr>
          <w:rFonts w:asciiTheme="minorHAnsi" w:hAnsiTheme="minorHAnsi" w:cstheme="minorHAnsi"/>
        </w:rPr>
      </w:pPr>
      <w:r>
        <w:rPr>
          <w:rFonts w:asciiTheme="minorHAnsi" w:hAnsiTheme="minorHAnsi" w:cstheme="minorHAnsi"/>
        </w:rPr>
        <w:t xml:space="preserve">Applicant authorities should complete the application form and submit to the </w:t>
      </w:r>
      <w:r w:rsidRPr="0036414F">
        <w:rPr>
          <w:rFonts w:asciiTheme="minorHAnsi" w:hAnsiTheme="minorHAnsi" w:cstheme="minorHAnsi"/>
        </w:rPr>
        <w:t>GPA Secretariat</w:t>
      </w:r>
      <w:r>
        <w:rPr>
          <w:rFonts w:asciiTheme="minorHAnsi" w:hAnsiTheme="minorHAnsi" w:cstheme="minorHAnsi"/>
        </w:rPr>
        <w:t xml:space="preserve"> by </w:t>
      </w:r>
      <w:r w:rsidR="00830E5C" w:rsidRPr="001D6A5D">
        <w:rPr>
          <w:rFonts w:asciiTheme="minorHAnsi" w:hAnsiTheme="minorHAnsi" w:cstheme="minorHAnsi"/>
        </w:rPr>
        <w:t>24 February 2023</w:t>
      </w:r>
      <w:r>
        <w:rPr>
          <w:rFonts w:asciiTheme="minorHAnsi" w:hAnsiTheme="minorHAnsi" w:cstheme="minorHAnsi"/>
        </w:rPr>
        <w:t>.</w:t>
      </w:r>
    </w:p>
    <w:p w14:paraId="70B4D068" w14:textId="4DBC85BE" w:rsidR="002F19DB" w:rsidRPr="009C46D0" w:rsidRDefault="002F19DB" w:rsidP="002F19DB">
      <w:pPr>
        <w:pStyle w:val="Prrafodelista"/>
        <w:numPr>
          <w:ilvl w:val="0"/>
          <w:numId w:val="2"/>
        </w:numPr>
        <w:rPr>
          <w:rFonts w:asciiTheme="minorHAnsi" w:hAnsiTheme="minorHAnsi" w:cstheme="minorHAnsi"/>
          <w:b/>
          <w:bCs/>
        </w:rPr>
      </w:pPr>
      <w:r w:rsidRPr="009C46D0">
        <w:rPr>
          <w:rFonts w:asciiTheme="minorHAnsi" w:hAnsiTheme="minorHAnsi" w:cstheme="minorHAnsi"/>
          <w:b/>
          <w:bCs/>
        </w:rPr>
        <w:t xml:space="preserve">The application </w:t>
      </w:r>
      <w:r w:rsidR="00A65891" w:rsidRPr="009C46D0">
        <w:rPr>
          <w:rFonts w:asciiTheme="minorHAnsi" w:hAnsiTheme="minorHAnsi" w:cstheme="minorHAnsi"/>
          <w:b/>
          <w:bCs/>
        </w:rPr>
        <w:t xml:space="preserve">and selection </w:t>
      </w:r>
      <w:r w:rsidRPr="009C46D0">
        <w:rPr>
          <w:rFonts w:asciiTheme="minorHAnsi" w:hAnsiTheme="minorHAnsi" w:cstheme="minorHAnsi"/>
          <w:b/>
          <w:bCs/>
        </w:rPr>
        <w:t>process</w:t>
      </w:r>
    </w:p>
    <w:p w14:paraId="45727AE8" w14:textId="62EDE8CA" w:rsidR="008B2B2C" w:rsidRDefault="00FF7322" w:rsidP="00FF7322">
      <w:pPr>
        <w:rPr>
          <w:rFonts w:asciiTheme="minorHAnsi" w:hAnsiTheme="minorHAnsi" w:cstheme="minorHAnsi"/>
        </w:rPr>
      </w:pPr>
      <w:r w:rsidRPr="008F6202">
        <w:rPr>
          <w:rFonts w:asciiTheme="minorHAnsi" w:hAnsiTheme="minorHAnsi" w:cstheme="minorHAnsi"/>
        </w:rPr>
        <w:t xml:space="preserve">In line with the new timeline detailed in </w:t>
      </w:r>
      <w:r w:rsidR="00E64150" w:rsidRPr="008F6202">
        <w:rPr>
          <w:rFonts w:asciiTheme="minorHAnsi" w:hAnsiTheme="minorHAnsi" w:cstheme="minorHAnsi"/>
        </w:rPr>
        <w:t xml:space="preserve">the </w:t>
      </w:r>
      <w:r w:rsidR="007912B1">
        <w:rPr>
          <w:rFonts w:asciiTheme="minorHAnsi" w:hAnsiTheme="minorHAnsi" w:cstheme="minorHAnsi"/>
        </w:rPr>
        <w:t xml:space="preserve">2022 </w:t>
      </w:r>
      <w:r w:rsidRPr="008F6202">
        <w:rPr>
          <w:rFonts w:asciiTheme="minorHAnsi" w:hAnsiTheme="minorHAnsi" w:cstheme="minorHAnsi"/>
        </w:rPr>
        <w:t xml:space="preserve">Resolution </w:t>
      </w:r>
      <w:r w:rsidR="00E64150" w:rsidRPr="008F6202">
        <w:rPr>
          <w:rFonts w:asciiTheme="minorHAnsi" w:hAnsiTheme="minorHAnsi" w:cstheme="minorHAnsi"/>
        </w:rPr>
        <w:t xml:space="preserve">to Amend the Roadmap </w:t>
      </w:r>
      <w:r w:rsidR="008F6202" w:rsidRPr="008F6202">
        <w:rPr>
          <w:rFonts w:asciiTheme="minorHAnsi" w:hAnsiTheme="minorHAnsi" w:cstheme="minorHAnsi"/>
        </w:rPr>
        <w:t>and the Timeline</w:t>
      </w:r>
      <w:r w:rsidRPr="008F6202">
        <w:rPr>
          <w:rFonts w:asciiTheme="minorHAnsi" w:hAnsiTheme="minorHAnsi" w:cstheme="minorHAnsi"/>
        </w:rPr>
        <w:t xml:space="preserve">, </w:t>
      </w:r>
      <w:r w:rsidR="008F6202">
        <w:rPr>
          <w:rFonts w:asciiTheme="minorHAnsi" w:hAnsiTheme="minorHAnsi" w:cstheme="minorHAnsi"/>
        </w:rPr>
        <w:t xml:space="preserve">the </w:t>
      </w:r>
      <w:r w:rsidR="007912B1">
        <w:rPr>
          <w:rFonts w:asciiTheme="minorHAnsi" w:hAnsiTheme="minorHAnsi" w:cstheme="minorHAnsi"/>
        </w:rPr>
        <w:t xml:space="preserve">2021 </w:t>
      </w:r>
      <w:r w:rsidR="008B2B2C" w:rsidRPr="008F6202">
        <w:rPr>
          <w:rFonts w:asciiTheme="minorHAnsi" w:hAnsiTheme="minorHAnsi" w:cstheme="minorHAnsi"/>
        </w:rPr>
        <w:t>Resolution</w:t>
      </w:r>
      <w:r w:rsidR="007912B1">
        <w:rPr>
          <w:rFonts w:asciiTheme="minorHAnsi" w:hAnsiTheme="minorHAnsi" w:cstheme="minorHAnsi"/>
        </w:rPr>
        <w:t xml:space="preserve"> on the Future of the Conference and the Secretariat</w:t>
      </w:r>
      <w:r w:rsidR="008B2B2C" w:rsidRPr="008F6202">
        <w:rPr>
          <w:rFonts w:asciiTheme="minorHAnsi" w:hAnsiTheme="minorHAnsi" w:cstheme="minorHAnsi"/>
        </w:rPr>
        <w:t xml:space="preserve">, and the </w:t>
      </w:r>
      <w:r w:rsidR="001F3E32">
        <w:rPr>
          <w:rFonts w:asciiTheme="minorHAnsi" w:hAnsiTheme="minorHAnsi" w:cstheme="minorHAnsi"/>
        </w:rPr>
        <w:t xml:space="preserve">GPA </w:t>
      </w:r>
      <w:r w:rsidR="008B2B2C" w:rsidRPr="008F6202">
        <w:rPr>
          <w:rFonts w:asciiTheme="minorHAnsi" w:hAnsiTheme="minorHAnsi" w:cstheme="minorHAnsi"/>
        </w:rPr>
        <w:t>Rules and Procedures</w:t>
      </w:r>
      <w:r w:rsidR="001F3E32">
        <w:rPr>
          <w:rStyle w:val="Refdenotaalpie"/>
          <w:rFonts w:asciiTheme="minorHAnsi" w:hAnsiTheme="minorHAnsi" w:cstheme="minorHAnsi"/>
        </w:rPr>
        <w:footnoteReference w:id="1"/>
      </w:r>
      <w:r w:rsidR="007912B1">
        <w:rPr>
          <w:rFonts w:asciiTheme="minorHAnsi" w:hAnsiTheme="minorHAnsi" w:cstheme="minorHAnsi"/>
        </w:rPr>
        <w:t>,</w:t>
      </w:r>
      <w:r w:rsidR="009D0C9E">
        <w:rPr>
          <w:rFonts w:asciiTheme="minorHAnsi" w:hAnsiTheme="minorHAnsi" w:cstheme="minorHAnsi"/>
        </w:rPr>
        <w:t xml:space="preserve"> </w:t>
      </w:r>
      <w:r w:rsidR="008B2B2C" w:rsidRPr="008F6202">
        <w:rPr>
          <w:rFonts w:asciiTheme="minorHAnsi" w:hAnsiTheme="minorHAnsi" w:cstheme="minorHAnsi"/>
        </w:rPr>
        <w:t>the application process is as follows:</w:t>
      </w:r>
    </w:p>
    <w:p w14:paraId="4C77BFAD" w14:textId="307844F1" w:rsidR="007912B1" w:rsidRDefault="001F19C8" w:rsidP="001F19C8">
      <w:pPr>
        <w:pStyle w:val="Prrafodelista"/>
        <w:numPr>
          <w:ilvl w:val="0"/>
          <w:numId w:val="16"/>
        </w:numPr>
        <w:rPr>
          <w:rFonts w:asciiTheme="minorHAnsi" w:hAnsiTheme="minorHAnsi" w:cstheme="minorHAnsi"/>
        </w:rPr>
      </w:pPr>
      <w:r>
        <w:rPr>
          <w:rFonts w:asciiTheme="minorHAnsi" w:hAnsiTheme="minorHAnsi" w:cstheme="minorHAnsi"/>
        </w:rPr>
        <w:t xml:space="preserve">The GPA Secretariat will launch a call for submissions for a new </w:t>
      </w:r>
      <w:r w:rsidR="00AB38AF">
        <w:rPr>
          <w:rFonts w:asciiTheme="minorHAnsi" w:hAnsiTheme="minorHAnsi" w:cstheme="minorHAnsi"/>
        </w:rPr>
        <w:t>GPA Secretariat</w:t>
      </w:r>
      <w:r w:rsidR="00E40335">
        <w:rPr>
          <w:rFonts w:asciiTheme="minorHAnsi" w:hAnsiTheme="minorHAnsi" w:cstheme="minorHAnsi"/>
        </w:rPr>
        <w:t xml:space="preserve"> </w:t>
      </w:r>
      <w:r w:rsidR="00E40335" w:rsidRPr="003F7B98">
        <w:rPr>
          <w:rFonts w:asciiTheme="minorHAnsi" w:hAnsiTheme="minorHAnsi" w:cstheme="minorHAnsi"/>
        </w:rPr>
        <w:t>in November.</w:t>
      </w:r>
    </w:p>
    <w:p w14:paraId="10F99BCF" w14:textId="23EFA17E" w:rsidR="00A439CC" w:rsidRDefault="00A439CC" w:rsidP="001F19C8">
      <w:pPr>
        <w:pStyle w:val="Prrafodelista"/>
        <w:numPr>
          <w:ilvl w:val="0"/>
          <w:numId w:val="16"/>
        </w:numPr>
        <w:rPr>
          <w:rFonts w:asciiTheme="minorHAnsi" w:hAnsiTheme="minorHAnsi" w:cstheme="minorHAnsi"/>
        </w:rPr>
      </w:pPr>
      <w:r>
        <w:rPr>
          <w:rFonts w:asciiTheme="minorHAnsi" w:hAnsiTheme="minorHAnsi" w:cstheme="minorHAnsi"/>
        </w:rPr>
        <w:t>The Selection Subcommittee will hold drop-in sessions during the month of January for applicants who wish to have assistance with the application process.</w:t>
      </w:r>
    </w:p>
    <w:p w14:paraId="65594527" w14:textId="73BC9362" w:rsidR="001F19C8" w:rsidRDefault="00AB38AF" w:rsidP="001F19C8">
      <w:pPr>
        <w:pStyle w:val="Prrafodelista"/>
        <w:numPr>
          <w:ilvl w:val="0"/>
          <w:numId w:val="16"/>
        </w:numPr>
        <w:rPr>
          <w:rFonts w:asciiTheme="minorHAnsi" w:hAnsiTheme="minorHAnsi" w:cstheme="minorHAnsi"/>
        </w:rPr>
      </w:pPr>
      <w:r>
        <w:rPr>
          <w:rFonts w:asciiTheme="minorHAnsi" w:hAnsiTheme="minorHAnsi" w:cstheme="minorHAnsi"/>
        </w:rPr>
        <w:t>After the deadline for applications has been closed, the Secretariat Selection Committee</w:t>
      </w:r>
      <w:r w:rsidR="008D2A4F">
        <w:rPr>
          <w:rFonts w:asciiTheme="minorHAnsi" w:hAnsiTheme="minorHAnsi" w:cstheme="minorHAnsi"/>
        </w:rPr>
        <w:t>, on behalf of the Executive Committee,</w:t>
      </w:r>
      <w:r>
        <w:rPr>
          <w:rFonts w:asciiTheme="minorHAnsi" w:hAnsiTheme="minorHAnsi" w:cstheme="minorHAnsi"/>
        </w:rPr>
        <w:t xml:space="preserve"> </w:t>
      </w:r>
      <w:r w:rsidR="00A65891">
        <w:rPr>
          <w:rFonts w:asciiTheme="minorHAnsi" w:hAnsiTheme="minorHAnsi" w:cstheme="minorHAnsi"/>
        </w:rPr>
        <w:t xml:space="preserve">will review all applications received. If necessary, the </w:t>
      </w:r>
      <w:r w:rsidR="001F3E32">
        <w:rPr>
          <w:rFonts w:asciiTheme="minorHAnsi" w:hAnsiTheme="minorHAnsi" w:cstheme="minorHAnsi"/>
        </w:rPr>
        <w:t xml:space="preserve">Secretariat Selection Committee will contact </w:t>
      </w:r>
      <w:r w:rsidR="007114D4">
        <w:rPr>
          <w:rFonts w:asciiTheme="minorHAnsi" w:hAnsiTheme="minorHAnsi" w:cstheme="minorHAnsi"/>
        </w:rPr>
        <w:t>applicants to request further information.</w:t>
      </w:r>
    </w:p>
    <w:p w14:paraId="292DF38B" w14:textId="4256E62E" w:rsidR="001F3E32" w:rsidRDefault="00CC6056" w:rsidP="001F19C8">
      <w:pPr>
        <w:pStyle w:val="Prrafodelista"/>
        <w:numPr>
          <w:ilvl w:val="0"/>
          <w:numId w:val="16"/>
        </w:numPr>
        <w:rPr>
          <w:rFonts w:asciiTheme="minorHAnsi" w:hAnsiTheme="minorHAnsi" w:cstheme="minorHAnsi"/>
        </w:rPr>
      </w:pPr>
      <w:r>
        <w:rPr>
          <w:rFonts w:asciiTheme="minorHAnsi" w:hAnsiTheme="minorHAnsi" w:cstheme="minorHAnsi"/>
        </w:rPr>
        <w:t>After reviewing all applications, the Selection Committee will make its recommendation to the Executive Committee on which candidate should run the Secretariat.</w:t>
      </w:r>
    </w:p>
    <w:p w14:paraId="1AC94835" w14:textId="6A02D4F7" w:rsidR="00CC6056" w:rsidRDefault="004E4072" w:rsidP="001F19C8">
      <w:pPr>
        <w:pStyle w:val="Prrafodelista"/>
        <w:numPr>
          <w:ilvl w:val="0"/>
          <w:numId w:val="16"/>
        </w:numPr>
        <w:rPr>
          <w:rFonts w:asciiTheme="minorHAnsi" w:hAnsiTheme="minorHAnsi" w:cstheme="minorHAnsi"/>
        </w:rPr>
      </w:pPr>
      <w:r>
        <w:rPr>
          <w:rFonts w:asciiTheme="minorHAnsi" w:hAnsiTheme="minorHAnsi" w:cstheme="minorHAnsi"/>
        </w:rPr>
        <w:t xml:space="preserve">The Executive Committee, after assessing the Secretariat Selection Committee’s </w:t>
      </w:r>
      <w:r w:rsidR="00E306D5">
        <w:rPr>
          <w:rFonts w:asciiTheme="minorHAnsi" w:hAnsiTheme="minorHAnsi" w:cstheme="minorHAnsi"/>
        </w:rPr>
        <w:t xml:space="preserve">recommendation, </w:t>
      </w:r>
      <w:r>
        <w:rPr>
          <w:rFonts w:asciiTheme="minorHAnsi" w:hAnsiTheme="minorHAnsi" w:cstheme="minorHAnsi"/>
        </w:rPr>
        <w:t xml:space="preserve">will make its </w:t>
      </w:r>
      <w:r w:rsidR="00E306D5">
        <w:rPr>
          <w:rFonts w:asciiTheme="minorHAnsi" w:hAnsiTheme="minorHAnsi" w:cstheme="minorHAnsi"/>
        </w:rPr>
        <w:t xml:space="preserve">own </w:t>
      </w:r>
      <w:r>
        <w:rPr>
          <w:rFonts w:asciiTheme="minorHAnsi" w:hAnsiTheme="minorHAnsi" w:cstheme="minorHAnsi"/>
        </w:rPr>
        <w:t xml:space="preserve">recommendation </w:t>
      </w:r>
      <w:r w:rsidR="00E306D5">
        <w:rPr>
          <w:rFonts w:asciiTheme="minorHAnsi" w:hAnsiTheme="minorHAnsi" w:cstheme="minorHAnsi"/>
        </w:rPr>
        <w:t>to the Closed Session.</w:t>
      </w:r>
    </w:p>
    <w:p w14:paraId="18E2CF98" w14:textId="0468074D" w:rsidR="009C2DC1" w:rsidRPr="009D0C9E" w:rsidRDefault="00E306D5" w:rsidP="009D0C9E">
      <w:pPr>
        <w:pStyle w:val="Prrafodelista"/>
        <w:numPr>
          <w:ilvl w:val="0"/>
          <w:numId w:val="16"/>
        </w:numPr>
        <w:rPr>
          <w:rFonts w:asciiTheme="minorHAnsi" w:hAnsiTheme="minorHAnsi" w:cstheme="minorHAnsi"/>
        </w:rPr>
      </w:pPr>
      <w:r>
        <w:rPr>
          <w:rFonts w:asciiTheme="minorHAnsi" w:hAnsiTheme="minorHAnsi" w:cstheme="minorHAnsi"/>
        </w:rPr>
        <w:t xml:space="preserve">The Closed Session </w:t>
      </w:r>
      <w:r w:rsidR="009C2DC1">
        <w:rPr>
          <w:rFonts w:asciiTheme="minorHAnsi" w:hAnsiTheme="minorHAnsi" w:cstheme="minorHAnsi"/>
        </w:rPr>
        <w:t>approves the Executive Committee’s recommended Secretariat Host Authority.</w:t>
      </w:r>
    </w:p>
    <w:p w14:paraId="2351B427" w14:textId="77777777" w:rsidR="00A65891" w:rsidRDefault="00A65891" w:rsidP="00A65891">
      <w:pPr>
        <w:pStyle w:val="Prrafodelista"/>
        <w:rPr>
          <w:rFonts w:asciiTheme="minorHAnsi" w:hAnsiTheme="minorHAnsi" w:cstheme="minorHAnsi"/>
          <w:b/>
          <w:bCs/>
        </w:rPr>
      </w:pPr>
    </w:p>
    <w:p w14:paraId="6D0BB82D" w14:textId="51FE495F" w:rsidR="002F19DB" w:rsidRDefault="002F19DB" w:rsidP="002F19DB">
      <w:pPr>
        <w:pStyle w:val="Prrafodelista"/>
        <w:numPr>
          <w:ilvl w:val="0"/>
          <w:numId w:val="2"/>
        </w:numPr>
        <w:rPr>
          <w:rFonts w:asciiTheme="minorHAnsi" w:hAnsiTheme="minorHAnsi" w:cstheme="minorHAnsi"/>
          <w:b/>
          <w:bCs/>
        </w:rPr>
      </w:pPr>
      <w:r w:rsidRPr="00FF7322">
        <w:rPr>
          <w:rFonts w:asciiTheme="minorHAnsi" w:hAnsiTheme="minorHAnsi" w:cstheme="minorHAnsi"/>
          <w:b/>
          <w:bCs/>
        </w:rPr>
        <w:t>How to fill in the application form</w:t>
      </w:r>
    </w:p>
    <w:p w14:paraId="7A12ABCD" w14:textId="04FEBFD5" w:rsidR="000E45D9" w:rsidRDefault="0077722D" w:rsidP="000E45D9">
      <w:pPr>
        <w:rPr>
          <w:rFonts w:asciiTheme="minorHAnsi" w:hAnsiTheme="minorHAnsi" w:cstheme="minorHAnsi"/>
        </w:rPr>
      </w:pPr>
      <w:r>
        <w:rPr>
          <w:rFonts w:asciiTheme="minorHAnsi" w:hAnsiTheme="minorHAnsi" w:cstheme="minorHAnsi"/>
        </w:rPr>
        <w:lastRenderedPageBreak/>
        <w:t xml:space="preserve">Please </w:t>
      </w:r>
      <w:proofErr w:type="gramStart"/>
      <w:r>
        <w:rPr>
          <w:rFonts w:asciiTheme="minorHAnsi" w:hAnsiTheme="minorHAnsi" w:cstheme="minorHAnsi"/>
        </w:rPr>
        <w:t>read carefully</w:t>
      </w:r>
      <w:proofErr w:type="gramEnd"/>
      <w:r>
        <w:rPr>
          <w:rFonts w:asciiTheme="minorHAnsi" w:hAnsiTheme="minorHAnsi" w:cstheme="minorHAnsi"/>
        </w:rPr>
        <w:t xml:space="preserve"> the section below before you fill in your </w:t>
      </w:r>
      <w:r w:rsidR="00EE5B7B">
        <w:rPr>
          <w:rFonts w:asciiTheme="minorHAnsi" w:hAnsiTheme="minorHAnsi" w:cstheme="minorHAnsi"/>
        </w:rPr>
        <w:t>application form. The below is aimed to provide some guidance, but authorities wishing to apply are encouraged to provide any additional information they believe will support their application.</w:t>
      </w:r>
    </w:p>
    <w:p w14:paraId="24FFDEED" w14:textId="4903FD69" w:rsidR="005A45F1" w:rsidRPr="000E45D9" w:rsidRDefault="005A45F1" w:rsidP="000E45D9">
      <w:pPr>
        <w:rPr>
          <w:rFonts w:asciiTheme="minorHAnsi" w:hAnsiTheme="minorHAnsi" w:cstheme="minorHAnsi"/>
        </w:rPr>
      </w:pPr>
      <w:r>
        <w:rPr>
          <w:rFonts w:asciiTheme="minorHAnsi" w:hAnsiTheme="minorHAnsi" w:cstheme="minorHAnsi"/>
        </w:rPr>
        <w:t>Please note that while the information you provide in the application will be considered carefully, your application</w:t>
      </w:r>
      <w:r w:rsidR="002E2286">
        <w:rPr>
          <w:rFonts w:asciiTheme="minorHAnsi" w:hAnsiTheme="minorHAnsi" w:cstheme="minorHAnsi"/>
        </w:rPr>
        <w:t>’s strength will be considered in its entirety</w:t>
      </w:r>
      <w:r w:rsidR="00AA3955">
        <w:rPr>
          <w:rFonts w:asciiTheme="minorHAnsi" w:hAnsiTheme="minorHAnsi" w:cstheme="minorHAnsi"/>
        </w:rPr>
        <w:t>, and not just on individual points</w:t>
      </w:r>
      <w:r w:rsidR="0016343A">
        <w:rPr>
          <w:rFonts w:asciiTheme="minorHAnsi" w:hAnsiTheme="minorHAnsi" w:cstheme="minorHAnsi"/>
        </w:rPr>
        <w:t>.</w:t>
      </w:r>
      <w:r w:rsidR="00AA3955">
        <w:rPr>
          <w:rFonts w:asciiTheme="minorHAnsi" w:hAnsiTheme="minorHAnsi" w:cstheme="minorHAnsi"/>
        </w:rPr>
        <w:t xml:space="preserve"> </w:t>
      </w:r>
    </w:p>
    <w:p w14:paraId="564AED4C" w14:textId="513D0523" w:rsidR="00FF7322" w:rsidRPr="0001379E" w:rsidRDefault="00FF7322" w:rsidP="000E45D9">
      <w:pPr>
        <w:pStyle w:val="Prrafodelista"/>
        <w:numPr>
          <w:ilvl w:val="0"/>
          <w:numId w:val="3"/>
        </w:numPr>
        <w:rPr>
          <w:rFonts w:asciiTheme="minorHAnsi" w:hAnsiTheme="minorHAnsi" w:cstheme="minorHAnsi"/>
          <w:b/>
          <w:bCs/>
        </w:rPr>
      </w:pPr>
      <w:r w:rsidRPr="000E45D9">
        <w:rPr>
          <w:rFonts w:asciiTheme="minorHAnsi" w:hAnsiTheme="minorHAnsi" w:cstheme="minorHAnsi"/>
          <w:b/>
          <w:bCs/>
        </w:rPr>
        <w:t>Section A: Your Authority</w:t>
      </w:r>
    </w:p>
    <w:tbl>
      <w:tblPr>
        <w:tblStyle w:val="Tablaconcuadrcula"/>
        <w:tblW w:w="0" w:type="auto"/>
        <w:tblLook w:val="04A0" w:firstRow="1" w:lastRow="0" w:firstColumn="1" w:lastColumn="0" w:noHBand="0" w:noVBand="1"/>
      </w:tblPr>
      <w:tblGrid>
        <w:gridCol w:w="3964"/>
        <w:gridCol w:w="5052"/>
      </w:tblGrid>
      <w:tr w:rsidR="0001379E" w14:paraId="19F13591" w14:textId="77777777" w:rsidTr="002C1716">
        <w:tc>
          <w:tcPr>
            <w:tcW w:w="3964" w:type="dxa"/>
          </w:tcPr>
          <w:p w14:paraId="599813DD" w14:textId="0E95CF22" w:rsidR="0001379E" w:rsidRPr="0001379E" w:rsidRDefault="0001379E" w:rsidP="0001379E">
            <w:pPr>
              <w:rPr>
                <w:rFonts w:asciiTheme="minorHAnsi" w:hAnsiTheme="minorHAnsi" w:cstheme="minorHAnsi"/>
                <w:b/>
                <w:bCs/>
              </w:rPr>
            </w:pPr>
            <w:r>
              <w:rPr>
                <w:rFonts w:asciiTheme="minorHAnsi" w:hAnsiTheme="minorHAnsi" w:cstheme="minorHAnsi"/>
                <w:b/>
                <w:bCs/>
              </w:rPr>
              <w:t>Question</w:t>
            </w:r>
          </w:p>
        </w:tc>
        <w:tc>
          <w:tcPr>
            <w:tcW w:w="5052" w:type="dxa"/>
          </w:tcPr>
          <w:p w14:paraId="3A3EE558" w14:textId="241184A3" w:rsidR="0001379E" w:rsidRPr="0001379E" w:rsidRDefault="0001379E" w:rsidP="0001379E">
            <w:pPr>
              <w:rPr>
                <w:rFonts w:asciiTheme="minorHAnsi" w:hAnsiTheme="minorHAnsi" w:cstheme="minorHAnsi"/>
                <w:b/>
                <w:bCs/>
              </w:rPr>
            </w:pPr>
            <w:r>
              <w:rPr>
                <w:rFonts w:asciiTheme="minorHAnsi" w:hAnsiTheme="minorHAnsi" w:cstheme="minorHAnsi"/>
                <w:b/>
                <w:bCs/>
              </w:rPr>
              <w:t>Comment</w:t>
            </w:r>
          </w:p>
        </w:tc>
      </w:tr>
      <w:tr w:rsidR="0001379E" w14:paraId="13942B74" w14:textId="77777777" w:rsidTr="002C1716">
        <w:tc>
          <w:tcPr>
            <w:tcW w:w="3964" w:type="dxa"/>
          </w:tcPr>
          <w:p w14:paraId="575A8423" w14:textId="0244186E" w:rsidR="0001379E" w:rsidRPr="000A0875" w:rsidRDefault="000A0875" w:rsidP="000A0875">
            <w:pPr>
              <w:rPr>
                <w:rFonts w:asciiTheme="minorHAnsi" w:hAnsiTheme="minorHAnsi" w:cstheme="minorHAnsi"/>
              </w:rPr>
            </w:pPr>
            <w:r>
              <w:rPr>
                <w:rFonts w:asciiTheme="minorHAnsi" w:hAnsiTheme="minorHAnsi" w:cstheme="minorHAnsi"/>
                <w:b/>
                <w:bCs/>
              </w:rPr>
              <w:t xml:space="preserve">1. </w:t>
            </w:r>
            <w:r w:rsidR="0001379E" w:rsidRPr="000A0875">
              <w:rPr>
                <w:rFonts w:asciiTheme="minorHAnsi" w:hAnsiTheme="minorHAnsi" w:cstheme="minorHAnsi"/>
                <w:b/>
                <w:bCs/>
              </w:rPr>
              <w:t xml:space="preserve">Authority details: </w:t>
            </w:r>
            <w:r w:rsidR="0001379E" w:rsidRPr="000A0875">
              <w:rPr>
                <w:rFonts w:asciiTheme="minorHAnsi" w:hAnsiTheme="minorHAnsi" w:cstheme="minorHAnsi"/>
              </w:rPr>
              <w:t>Please briefly provide background information about your authority, including its full title, place of establishment and law governing its establishment (including whether this law is under review by relevant bodies and the implications for such legal review on the authority’s establishment), its size (e.g., number of staff in FTEs), and current President/Commissioner.</w:t>
            </w:r>
          </w:p>
          <w:p w14:paraId="55A0B1EC" w14:textId="5AA3C21C" w:rsidR="00542F57" w:rsidRDefault="00542F57" w:rsidP="0001379E">
            <w:pPr>
              <w:rPr>
                <w:rFonts w:asciiTheme="minorHAnsi" w:hAnsiTheme="minorHAnsi" w:cstheme="minorHAnsi"/>
              </w:rPr>
            </w:pPr>
          </w:p>
        </w:tc>
        <w:tc>
          <w:tcPr>
            <w:tcW w:w="5052" w:type="dxa"/>
          </w:tcPr>
          <w:p w14:paraId="53A6A00B" w14:textId="21D258F5" w:rsidR="0001379E" w:rsidRPr="006B4E1A" w:rsidRDefault="0001379E" w:rsidP="0001379E">
            <w:pPr>
              <w:rPr>
                <w:rFonts w:asciiTheme="minorHAnsi" w:hAnsiTheme="minorHAnsi" w:cstheme="minorHAnsi"/>
              </w:rPr>
            </w:pPr>
            <w:r>
              <w:rPr>
                <w:rFonts w:asciiTheme="minorHAnsi" w:hAnsiTheme="minorHAnsi" w:cstheme="minorHAnsi"/>
              </w:rPr>
              <w:t>The Secretariat Selection Committee will use this information to understand your authority’s background and to assess how your authority will be able to perform its duties as the GPA Secretariat host</w:t>
            </w:r>
            <w:r w:rsidR="00C424A0">
              <w:rPr>
                <w:rFonts w:asciiTheme="minorHAnsi" w:hAnsiTheme="minorHAnsi" w:cstheme="minorHAnsi"/>
              </w:rPr>
              <w:t>, including any existing or pending limitations in law</w:t>
            </w:r>
            <w:r>
              <w:rPr>
                <w:rFonts w:asciiTheme="minorHAnsi" w:hAnsiTheme="minorHAnsi" w:cstheme="minorHAnsi"/>
              </w:rPr>
              <w:t>.</w:t>
            </w:r>
          </w:p>
          <w:p w14:paraId="10D6980F" w14:textId="77777777" w:rsidR="0001379E" w:rsidRDefault="0001379E" w:rsidP="0001379E">
            <w:pPr>
              <w:rPr>
                <w:rFonts w:asciiTheme="minorHAnsi" w:hAnsiTheme="minorHAnsi" w:cstheme="minorHAnsi"/>
              </w:rPr>
            </w:pPr>
          </w:p>
        </w:tc>
      </w:tr>
      <w:tr w:rsidR="0001379E" w14:paraId="0E086BA7" w14:textId="77777777" w:rsidTr="002C1716">
        <w:tc>
          <w:tcPr>
            <w:tcW w:w="3964" w:type="dxa"/>
          </w:tcPr>
          <w:p w14:paraId="5039D21A" w14:textId="4152E248" w:rsidR="0001379E" w:rsidRDefault="000A0875" w:rsidP="0001379E">
            <w:pPr>
              <w:rPr>
                <w:rFonts w:asciiTheme="minorHAnsi" w:hAnsiTheme="minorHAnsi" w:cstheme="minorHAnsi"/>
              </w:rPr>
            </w:pPr>
            <w:r>
              <w:rPr>
                <w:rFonts w:asciiTheme="minorHAnsi" w:hAnsiTheme="minorHAnsi" w:cstheme="minorHAnsi"/>
                <w:b/>
                <w:bCs/>
              </w:rPr>
              <w:t xml:space="preserve">2. </w:t>
            </w:r>
            <w:r w:rsidR="0001379E">
              <w:rPr>
                <w:rFonts w:asciiTheme="minorHAnsi" w:hAnsiTheme="minorHAnsi" w:cstheme="minorHAnsi"/>
                <w:b/>
                <w:bCs/>
              </w:rPr>
              <w:t xml:space="preserve">Legal Nature: </w:t>
            </w:r>
            <w:r w:rsidR="0001379E" w:rsidRPr="006C358B">
              <w:rPr>
                <w:rFonts w:asciiTheme="minorHAnsi" w:hAnsiTheme="minorHAnsi" w:cstheme="minorHAnsi"/>
              </w:rPr>
              <w:t>Please explain your authority’s legal nature and the implications this has in its operations and financial decision-making process, including the levels of operational, organizational, and budgetary autonomy established in your country’s law. Please indicate if there are any other government instances involved in the decision-making process, both internally and externally; and consequently, the level of autonomy in the decision-making process</w:t>
            </w:r>
            <w:r w:rsidR="0001379E">
              <w:rPr>
                <w:rFonts w:asciiTheme="minorHAnsi" w:hAnsiTheme="minorHAnsi" w:cstheme="minorHAnsi"/>
              </w:rPr>
              <w:t xml:space="preserve"> of the Secretariat</w:t>
            </w:r>
            <w:r w:rsidR="0001379E" w:rsidRPr="006C358B">
              <w:rPr>
                <w:rFonts w:asciiTheme="minorHAnsi" w:hAnsiTheme="minorHAnsi" w:cstheme="minorHAnsi"/>
              </w:rPr>
              <w:t>.</w:t>
            </w:r>
          </w:p>
          <w:p w14:paraId="3653B6DD" w14:textId="18069975" w:rsidR="00FB0DBC" w:rsidRDefault="00FB0DBC" w:rsidP="0001379E">
            <w:pPr>
              <w:rPr>
                <w:rFonts w:asciiTheme="minorHAnsi" w:hAnsiTheme="minorHAnsi" w:cstheme="minorHAnsi"/>
              </w:rPr>
            </w:pPr>
          </w:p>
        </w:tc>
        <w:tc>
          <w:tcPr>
            <w:tcW w:w="5052" w:type="dxa"/>
          </w:tcPr>
          <w:p w14:paraId="647AA0DE" w14:textId="0801D682" w:rsidR="00C47138" w:rsidRDefault="0001379E" w:rsidP="0001379E">
            <w:pPr>
              <w:rPr>
                <w:rFonts w:asciiTheme="minorHAnsi" w:hAnsiTheme="minorHAnsi" w:cstheme="minorHAnsi"/>
                <w:lang w:val="en-US"/>
              </w:rPr>
            </w:pPr>
            <w:r>
              <w:rPr>
                <w:rFonts w:asciiTheme="minorHAnsi" w:hAnsiTheme="minorHAnsi" w:cstheme="minorHAnsi"/>
                <w:lang w:val="en-US"/>
              </w:rPr>
              <w:t xml:space="preserve">An authority’s legal nature may have implications regarding the decision-making process, including on whether and how monies from external </w:t>
            </w:r>
            <w:r w:rsidR="00260E35">
              <w:rPr>
                <w:rFonts w:asciiTheme="minorHAnsi" w:hAnsiTheme="minorHAnsi" w:cstheme="minorHAnsi"/>
                <w:lang w:val="en-US"/>
              </w:rPr>
              <w:t xml:space="preserve">sources </w:t>
            </w:r>
            <w:r>
              <w:rPr>
                <w:rFonts w:asciiTheme="minorHAnsi" w:hAnsiTheme="minorHAnsi" w:cstheme="minorHAnsi"/>
                <w:lang w:val="en-US"/>
              </w:rPr>
              <w:t xml:space="preserve">can be received and/or distributed. </w:t>
            </w:r>
          </w:p>
          <w:p w14:paraId="325F6A6D" w14:textId="2E499661" w:rsidR="00C47138" w:rsidRDefault="0031457F" w:rsidP="0001379E">
            <w:pPr>
              <w:rPr>
                <w:rFonts w:asciiTheme="minorHAnsi" w:hAnsiTheme="minorHAnsi" w:cstheme="minorHAnsi"/>
                <w:lang w:val="en-US"/>
              </w:rPr>
            </w:pPr>
            <w:r>
              <w:rPr>
                <w:rFonts w:asciiTheme="minorHAnsi" w:hAnsiTheme="minorHAnsi" w:cstheme="minorHAnsi"/>
                <w:lang w:val="en-US"/>
              </w:rPr>
              <w:t xml:space="preserve">Future GPA Secretariat hosts should be able to demonstrate they can act independently and without any undue influence. </w:t>
            </w:r>
            <w:r w:rsidR="00C47138">
              <w:rPr>
                <w:rFonts w:asciiTheme="minorHAnsi" w:hAnsiTheme="minorHAnsi" w:cstheme="minorHAnsi"/>
                <w:lang w:val="en-US"/>
              </w:rPr>
              <w:t>Rule 3.4.e. of the GPA Rules</w:t>
            </w:r>
            <w:r>
              <w:rPr>
                <w:rFonts w:asciiTheme="minorHAnsi" w:hAnsiTheme="minorHAnsi" w:cstheme="minorHAnsi"/>
                <w:lang w:val="en-US"/>
              </w:rPr>
              <w:t xml:space="preserve"> and</w:t>
            </w:r>
            <w:r w:rsidR="00C47138">
              <w:rPr>
                <w:rFonts w:asciiTheme="minorHAnsi" w:hAnsiTheme="minorHAnsi" w:cstheme="minorHAnsi"/>
                <w:lang w:val="en-US"/>
              </w:rPr>
              <w:t xml:space="preserve"> Procedures stipulate</w:t>
            </w:r>
            <w:r>
              <w:rPr>
                <w:rFonts w:asciiTheme="minorHAnsi" w:hAnsiTheme="minorHAnsi" w:cstheme="minorHAnsi"/>
                <w:lang w:val="en-US"/>
              </w:rPr>
              <w:t>s</w:t>
            </w:r>
            <w:r w:rsidR="00C47138">
              <w:rPr>
                <w:rFonts w:asciiTheme="minorHAnsi" w:hAnsiTheme="minorHAnsi" w:cstheme="minorHAnsi"/>
                <w:lang w:val="en-US"/>
              </w:rPr>
              <w:t xml:space="preserve"> that </w:t>
            </w:r>
            <w:r w:rsidR="0001379E">
              <w:rPr>
                <w:rFonts w:asciiTheme="minorHAnsi" w:hAnsiTheme="minorHAnsi" w:cstheme="minorHAnsi"/>
                <w:lang w:val="en-US"/>
              </w:rPr>
              <w:t>future GPA Secretariat hosts will be</w:t>
            </w:r>
            <w:r>
              <w:rPr>
                <w:rFonts w:asciiTheme="minorHAnsi" w:hAnsiTheme="minorHAnsi" w:cstheme="minorHAnsi"/>
                <w:lang w:val="en-US"/>
              </w:rPr>
              <w:t xml:space="preserve"> accountable </w:t>
            </w:r>
            <w:r w:rsidR="00324AC7">
              <w:rPr>
                <w:rFonts w:asciiTheme="minorHAnsi" w:hAnsiTheme="minorHAnsi" w:cstheme="minorHAnsi"/>
                <w:lang w:val="en-US"/>
              </w:rPr>
              <w:t xml:space="preserve">for </w:t>
            </w:r>
            <w:r w:rsidR="00B91F4B">
              <w:rPr>
                <w:rFonts w:asciiTheme="minorHAnsi" w:hAnsiTheme="minorHAnsi" w:cstheme="minorHAnsi"/>
                <w:lang w:val="en-US"/>
              </w:rPr>
              <w:t xml:space="preserve">their </w:t>
            </w:r>
            <w:r w:rsidR="00324AC7">
              <w:rPr>
                <w:rFonts w:asciiTheme="minorHAnsi" w:hAnsiTheme="minorHAnsi" w:cstheme="minorHAnsi"/>
                <w:lang w:val="en-US"/>
              </w:rPr>
              <w:t>activity to the GPA Executive Committee (and ultimately the GPA Closed Session)</w:t>
            </w:r>
            <w:r w:rsidR="00C9062A">
              <w:rPr>
                <w:rFonts w:asciiTheme="minorHAnsi" w:hAnsiTheme="minorHAnsi" w:cstheme="minorHAnsi"/>
                <w:lang w:val="en-US"/>
              </w:rPr>
              <w:t xml:space="preserve"> </w:t>
            </w:r>
            <w:r w:rsidR="0001379E">
              <w:rPr>
                <w:rFonts w:asciiTheme="minorHAnsi" w:hAnsiTheme="minorHAnsi" w:cstheme="minorHAnsi"/>
                <w:lang w:val="en-US"/>
              </w:rPr>
              <w:t xml:space="preserve">and will have the ability to collect, hold and disburse the proceeds of the membership fees. </w:t>
            </w:r>
          </w:p>
          <w:p w14:paraId="0734A4F7" w14:textId="699E3FD6" w:rsidR="0001379E" w:rsidRDefault="0001379E" w:rsidP="0001379E">
            <w:pPr>
              <w:rPr>
                <w:rFonts w:asciiTheme="minorHAnsi" w:hAnsiTheme="minorHAnsi" w:cstheme="minorHAnsi"/>
                <w:lang w:val="en-US"/>
              </w:rPr>
            </w:pPr>
            <w:r>
              <w:rPr>
                <w:rFonts w:asciiTheme="minorHAnsi" w:hAnsiTheme="minorHAnsi" w:cstheme="minorHAnsi"/>
                <w:lang w:val="en-US"/>
              </w:rPr>
              <w:t>The Selection Committee also seeks to understand how your authority’s decision-making process may affect any decisions made in your authority’s capacity as GPA Secretariat Host.</w:t>
            </w:r>
          </w:p>
          <w:p w14:paraId="449B1F31" w14:textId="468C15FF" w:rsidR="00542F57" w:rsidRDefault="00542F57" w:rsidP="0001379E">
            <w:pPr>
              <w:rPr>
                <w:rFonts w:asciiTheme="minorHAnsi" w:hAnsiTheme="minorHAnsi" w:cstheme="minorHAnsi"/>
              </w:rPr>
            </w:pPr>
          </w:p>
        </w:tc>
      </w:tr>
      <w:tr w:rsidR="0001379E" w14:paraId="7EDE0A8B" w14:textId="77777777" w:rsidTr="002C1716">
        <w:tc>
          <w:tcPr>
            <w:tcW w:w="3964" w:type="dxa"/>
          </w:tcPr>
          <w:p w14:paraId="78846BDD" w14:textId="36D3E253" w:rsidR="0001379E" w:rsidRDefault="000A0875" w:rsidP="0001379E">
            <w:pPr>
              <w:rPr>
                <w:rFonts w:asciiTheme="minorHAnsi" w:hAnsiTheme="minorHAnsi" w:cstheme="minorHAnsi"/>
              </w:rPr>
            </w:pPr>
            <w:r>
              <w:rPr>
                <w:rFonts w:asciiTheme="minorHAnsi" w:hAnsiTheme="minorHAnsi" w:cstheme="minorHAnsi"/>
                <w:b/>
                <w:bCs/>
              </w:rPr>
              <w:t xml:space="preserve">3. </w:t>
            </w:r>
            <w:r w:rsidR="0001379E">
              <w:rPr>
                <w:rFonts w:asciiTheme="minorHAnsi" w:hAnsiTheme="minorHAnsi" w:cstheme="minorHAnsi"/>
                <w:b/>
                <w:bCs/>
              </w:rPr>
              <w:t>Your authority’s funding method:</w:t>
            </w:r>
            <w:r w:rsidR="0001379E">
              <w:rPr>
                <w:rFonts w:asciiTheme="minorHAnsi" w:hAnsiTheme="minorHAnsi" w:cstheme="minorHAnsi"/>
              </w:rPr>
              <w:t xml:space="preserve">  </w:t>
            </w:r>
            <w:r w:rsidR="0001379E" w:rsidRPr="00442C58">
              <w:rPr>
                <w:rFonts w:asciiTheme="minorHAnsi" w:hAnsiTheme="minorHAnsi" w:cstheme="minorHAnsi"/>
              </w:rPr>
              <w:t>Please explain the law(s)/regulation(s) governing your authority’s funding methods (e.g. funding from the national parliament/government, funding from fees, etc).</w:t>
            </w:r>
          </w:p>
          <w:p w14:paraId="741698C4" w14:textId="0A479DFB" w:rsidR="00C0223F" w:rsidRDefault="00C0223F" w:rsidP="0001379E">
            <w:pPr>
              <w:rPr>
                <w:rFonts w:asciiTheme="minorHAnsi" w:hAnsiTheme="minorHAnsi" w:cstheme="minorHAnsi"/>
              </w:rPr>
            </w:pPr>
          </w:p>
        </w:tc>
        <w:tc>
          <w:tcPr>
            <w:tcW w:w="5052" w:type="dxa"/>
          </w:tcPr>
          <w:p w14:paraId="5BF013F7" w14:textId="51EB4B0B" w:rsidR="0065598C" w:rsidRPr="0065598C" w:rsidRDefault="0001379E" w:rsidP="0001379E">
            <w:pPr>
              <w:rPr>
                <w:rFonts w:asciiTheme="minorHAnsi" w:hAnsiTheme="minorHAnsi" w:cstheme="minorHAnsi"/>
                <w:lang w:val="en-US"/>
              </w:rPr>
            </w:pPr>
            <w:r w:rsidRPr="00C34B1A">
              <w:rPr>
                <w:rFonts w:asciiTheme="minorHAnsi" w:hAnsiTheme="minorHAnsi" w:cstheme="minorHAnsi"/>
              </w:rPr>
              <w:t xml:space="preserve">Information regarding </w:t>
            </w:r>
            <w:r w:rsidR="00C424A0">
              <w:rPr>
                <w:rFonts w:asciiTheme="minorHAnsi" w:hAnsiTheme="minorHAnsi" w:cstheme="minorHAnsi"/>
              </w:rPr>
              <w:t>your</w:t>
            </w:r>
            <w:r w:rsidR="00335393" w:rsidRPr="00C34B1A">
              <w:rPr>
                <w:rFonts w:asciiTheme="minorHAnsi" w:hAnsiTheme="minorHAnsi" w:cstheme="minorHAnsi"/>
              </w:rPr>
              <w:t xml:space="preserve"> </w:t>
            </w:r>
            <w:r w:rsidRPr="00C34B1A">
              <w:rPr>
                <w:rFonts w:asciiTheme="minorHAnsi" w:hAnsiTheme="minorHAnsi" w:cstheme="minorHAnsi"/>
              </w:rPr>
              <w:t xml:space="preserve">authority’s funding methods will be used to assess to what extent </w:t>
            </w:r>
            <w:r w:rsidR="00C424A0">
              <w:rPr>
                <w:rFonts w:asciiTheme="minorHAnsi" w:hAnsiTheme="minorHAnsi" w:cstheme="minorHAnsi"/>
              </w:rPr>
              <w:t>your</w:t>
            </w:r>
            <w:r w:rsidR="00335393" w:rsidRPr="00C34B1A">
              <w:rPr>
                <w:rFonts w:asciiTheme="minorHAnsi" w:hAnsiTheme="minorHAnsi" w:cstheme="minorHAnsi"/>
              </w:rPr>
              <w:t xml:space="preserve"> </w:t>
            </w:r>
            <w:r w:rsidRPr="00C34B1A">
              <w:rPr>
                <w:rFonts w:asciiTheme="minorHAnsi" w:hAnsiTheme="minorHAnsi" w:cstheme="minorHAnsi"/>
              </w:rPr>
              <w:t xml:space="preserve">authority will be able </w:t>
            </w:r>
            <w:r w:rsidRPr="00C34B1A">
              <w:rPr>
                <w:rFonts w:asciiTheme="minorHAnsi" w:hAnsiTheme="minorHAnsi" w:cstheme="minorHAnsi"/>
                <w:lang w:val="en-US"/>
              </w:rPr>
              <w:t>to collect, hold and disburse the proceeds of the membership fees</w:t>
            </w:r>
            <w:r w:rsidR="00C0223F">
              <w:rPr>
                <w:rFonts w:asciiTheme="minorHAnsi" w:hAnsiTheme="minorHAnsi" w:cstheme="minorHAnsi"/>
                <w:lang w:val="en-US"/>
              </w:rPr>
              <w:t>.</w:t>
            </w:r>
          </w:p>
          <w:p w14:paraId="21EF92C3" w14:textId="77777777" w:rsidR="0001379E" w:rsidRDefault="0001379E" w:rsidP="0001379E">
            <w:pPr>
              <w:rPr>
                <w:rFonts w:asciiTheme="minorHAnsi" w:hAnsiTheme="minorHAnsi" w:cstheme="minorHAnsi"/>
              </w:rPr>
            </w:pPr>
          </w:p>
        </w:tc>
      </w:tr>
      <w:tr w:rsidR="0001379E" w14:paraId="0431E9EF" w14:textId="77777777" w:rsidTr="002C1716">
        <w:tc>
          <w:tcPr>
            <w:tcW w:w="3964" w:type="dxa"/>
          </w:tcPr>
          <w:p w14:paraId="43E8F38C" w14:textId="35894EA8" w:rsidR="0001379E" w:rsidRDefault="000A0875" w:rsidP="0001379E">
            <w:pPr>
              <w:rPr>
                <w:rFonts w:asciiTheme="minorHAnsi" w:hAnsiTheme="minorHAnsi" w:cstheme="minorHAnsi"/>
              </w:rPr>
            </w:pPr>
            <w:r>
              <w:rPr>
                <w:rFonts w:asciiTheme="minorHAnsi" w:hAnsiTheme="minorHAnsi" w:cstheme="minorHAnsi"/>
                <w:b/>
                <w:bCs/>
              </w:rPr>
              <w:lastRenderedPageBreak/>
              <w:t xml:space="preserve">4. </w:t>
            </w:r>
            <w:r w:rsidR="0001379E">
              <w:rPr>
                <w:rFonts w:asciiTheme="minorHAnsi" w:hAnsiTheme="minorHAnsi" w:cstheme="minorHAnsi"/>
                <w:b/>
                <w:bCs/>
              </w:rPr>
              <w:t>GPA involvement:</w:t>
            </w:r>
            <w:r w:rsidR="0001379E">
              <w:rPr>
                <w:rFonts w:asciiTheme="minorHAnsi" w:hAnsiTheme="minorHAnsi" w:cstheme="minorHAnsi"/>
              </w:rPr>
              <w:t xml:space="preserve"> </w:t>
            </w:r>
            <w:r w:rsidR="0001379E" w:rsidRPr="003A137B">
              <w:rPr>
                <w:rFonts w:asciiTheme="minorHAnsi" w:hAnsiTheme="minorHAnsi" w:cstheme="minorHAnsi"/>
              </w:rPr>
              <w:t>Please explain your authority’s involvement with the GPA and its Working Groups, including any previously held roles in the Executive Committee and previous conference host experience.</w:t>
            </w:r>
          </w:p>
          <w:p w14:paraId="2747702E" w14:textId="0CAF80B2" w:rsidR="00790A98" w:rsidRDefault="00790A98" w:rsidP="0001379E">
            <w:pPr>
              <w:rPr>
                <w:rFonts w:asciiTheme="minorHAnsi" w:hAnsiTheme="minorHAnsi" w:cstheme="minorHAnsi"/>
              </w:rPr>
            </w:pPr>
          </w:p>
        </w:tc>
        <w:tc>
          <w:tcPr>
            <w:tcW w:w="5052" w:type="dxa"/>
          </w:tcPr>
          <w:p w14:paraId="7AA76DF3" w14:textId="658083E4" w:rsidR="0001379E" w:rsidRDefault="00324AC7" w:rsidP="0001379E">
            <w:pPr>
              <w:rPr>
                <w:rFonts w:asciiTheme="minorHAnsi" w:hAnsiTheme="minorHAnsi" w:cstheme="minorHAnsi"/>
              </w:rPr>
            </w:pPr>
            <w:r>
              <w:rPr>
                <w:rFonts w:asciiTheme="minorHAnsi" w:hAnsiTheme="minorHAnsi" w:cstheme="minorHAnsi"/>
              </w:rPr>
              <w:t>No comment.</w:t>
            </w:r>
          </w:p>
        </w:tc>
      </w:tr>
      <w:tr w:rsidR="0001379E" w14:paraId="182663A5" w14:textId="77777777" w:rsidTr="002C1716">
        <w:tc>
          <w:tcPr>
            <w:tcW w:w="3964" w:type="dxa"/>
          </w:tcPr>
          <w:p w14:paraId="771A341F" w14:textId="2FE1860F" w:rsidR="0001379E" w:rsidRDefault="000A0875" w:rsidP="0001379E">
            <w:pPr>
              <w:rPr>
                <w:rFonts w:asciiTheme="minorHAnsi" w:hAnsiTheme="minorHAnsi" w:cstheme="minorHAnsi"/>
              </w:rPr>
            </w:pPr>
            <w:r>
              <w:rPr>
                <w:rFonts w:asciiTheme="minorHAnsi" w:hAnsiTheme="minorHAnsi" w:cstheme="minorHAnsi"/>
                <w:b/>
                <w:bCs/>
              </w:rPr>
              <w:t xml:space="preserve">5. </w:t>
            </w:r>
            <w:r w:rsidR="0001379E">
              <w:rPr>
                <w:rFonts w:asciiTheme="minorHAnsi" w:hAnsiTheme="minorHAnsi" w:cstheme="minorHAnsi"/>
                <w:b/>
                <w:bCs/>
              </w:rPr>
              <w:t xml:space="preserve">International experience: </w:t>
            </w:r>
            <w:r w:rsidR="0001379E">
              <w:rPr>
                <w:rFonts w:asciiTheme="minorHAnsi" w:hAnsiTheme="minorHAnsi" w:cstheme="minorHAnsi"/>
              </w:rPr>
              <w:t>Please provide details about your authority’s involvement with any other international networks.</w:t>
            </w:r>
          </w:p>
          <w:p w14:paraId="09E8239C" w14:textId="3CBE99AC" w:rsidR="000F6ECD" w:rsidRDefault="000F6ECD" w:rsidP="0001379E">
            <w:pPr>
              <w:rPr>
                <w:rFonts w:asciiTheme="minorHAnsi" w:hAnsiTheme="minorHAnsi" w:cstheme="minorHAnsi"/>
              </w:rPr>
            </w:pPr>
          </w:p>
        </w:tc>
        <w:tc>
          <w:tcPr>
            <w:tcW w:w="5052" w:type="dxa"/>
          </w:tcPr>
          <w:p w14:paraId="29AACA7A" w14:textId="5EAE5D51" w:rsidR="0001379E" w:rsidRDefault="00324AC7" w:rsidP="0001379E">
            <w:pPr>
              <w:rPr>
                <w:rFonts w:asciiTheme="minorHAnsi" w:hAnsiTheme="minorHAnsi" w:cstheme="minorHAnsi"/>
              </w:rPr>
            </w:pPr>
            <w:r>
              <w:rPr>
                <w:rFonts w:asciiTheme="minorHAnsi" w:hAnsiTheme="minorHAnsi" w:cstheme="minorHAnsi"/>
              </w:rPr>
              <w:t>No comment.</w:t>
            </w:r>
          </w:p>
        </w:tc>
      </w:tr>
      <w:tr w:rsidR="0001379E" w14:paraId="2898E067" w14:textId="77777777" w:rsidTr="002C1716">
        <w:tc>
          <w:tcPr>
            <w:tcW w:w="3964" w:type="dxa"/>
          </w:tcPr>
          <w:p w14:paraId="3ED7EE80" w14:textId="2027A190" w:rsidR="0001379E" w:rsidRDefault="000A0875" w:rsidP="0001379E">
            <w:pPr>
              <w:rPr>
                <w:rFonts w:asciiTheme="minorHAnsi" w:hAnsiTheme="minorHAnsi" w:cstheme="minorHAnsi"/>
              </w:rPr>
            </w:pPr>
            <w:r>
              <w:rPr>
                <w:rFonts w:asciiTheme="minorHAnsi" w:hAnsiTheme="minorHAnsi" w:cstheme="minorHAnsi"/>
                <w:b/>
                <w:bCs/>
              </w:rPr>
              <w:t xml:space="preserve">6. </w:t>
            </w:r>
            <w:r w:rsidR="0001379E">
              <w:rPr>
                <w:rFonts w:asciiTheme="minorHAnsi" w:hAnsiTheme="minorHAnsi" w:cstheme="minorHAnsi"/>
                <w:b/>
                <w:bCs/>
              </w:rPr>
              <w:t>Secretariat-hosting experience:</w:t>
            </w:r>
            <w:r w:rsidR="0001379E">
              <w:rPr>
                <w:rFonts w:asciiTheme="minorHAnsi" w:hAnsiTheme="minorHAnsi" w:cstheme="minorHAnsi"/>
              </w:rPr>
              <w:t xml:space="preserve"> Please provide details of any experience in providing Secretariat services to a network like the GPA (for example to a regional data protection and privacy network).</w:t>
            </w:r>
          </w:p>
          <w:p w14:paraId="13C962B2" w14:textId="77777777" w:rsidR="0001379E" w:rsidRDefault="0001379E" w:rsidP="0001379E">
            <w:pPr>
              <w:rPr>
                <w:rFonts w:asciiTheme="minorHAnsi" w:hAnsiTheme="minorHAnsi" w:cstheme="minorHAnsi"/>
              </w:rPr>
            </w:pPr>
          </w:p>
        </w:tc>
        <w:tc>
          <w:tcPr>
            <w:tcW w:w="5052" w:type="dxa"/>
          </w:tcPr>
          <w:p w14:paraId="2FDC1185" w14:textId="7A3BC798" w:rsidR="0001379E" w:rsidRDefault="00324AC7" w:rsidP="0001379E">
            <w:pPr>
              <w:rPr>
                <w:rFonts w:asciiTheme="minorHAnsi" w:hAnsiTheme="minorHAnsi" w:cstheme="minorHAnsi"/>
              </w:rPr>
            </w:pPr>
            <w:r>
              <w:rPr>
                <w:rFonts w:asciiTheme="minorHAnsi" w:hAnsiTheme="minorHAnsi" w:cstheme="minorHAnsi"/>
              </w:rPr>
              <w:t>No comment.</w:t>
            </w:r>
          </w:p>
        </w:tc>
      </w:tr>
      <w:tr w:rsidR="0001379E" w14:paraId="7F167D36" w14:textId="77777777" w:rsidTr="002C1716">
        <w:tc>
          <w:tcPr>
            <w:tcW w:w="3964" w:type="dxa"/>
          </w:tcPr>
          <w:p w14:paraId="15403ED3" w14:textId="317BC632" w:rsidR="0001379E" w:rsidRDefault="000A0875" w:rsidP="0001379E">
            <w:pPr>
              <w:rPr>
                <w:rFonts w:asciiTheme="minorHAnsi" w:hAnsiTheme="minorHAnsi" w:cstheme="minorHAnsi"/>
              </w:rPr>
            </w:pPr>
            <w:r>
              <w:rPr>
                <w:rFonts w:asciiTheme="minorHAnsi" w:hAnsiTheme="minorHAnsi" w:cstheme="minorHAnsi"/>
                <w:b/>
                <w:bCs/>
              </w:rPr>
              <w:t xml:space="preserve">7. </w:t>
            </w:r>
            <w:r w:rsidR="0001379E" w:rsidRPr="00273BCF">
              <w:rPr>
                <w:rFonts w:asciiTheme="minorHAnsi" w:hAnsiTheme="minorHAnsi" w:cstheme="minorHAnsi"/>
                <w:b/>
                <w:bCs/>
              </w:rPr>
              <w:t>Special programmes:</w:t>
            </w:r>
            <w:r w:rsidR="0001379E" w:rsidRPr="00273BCF">
              <w:rPr>
                <w:rFonts w:asciiTheme="minorHAnsi" w:hAnsiTheme="minorHAnsi" w:cstheme="minorHAnsi"/>
              </w:rPr>
              <w:t xml:space="preserve"> Please provide details of any special or innovative programmes carried out by your authority</w:t>
            </w:r>
            <w:r w:rsidR="0001379E">
              <w:rPr>
                <w:rFonts w:asciiTheme="minorHAnsi" w:hAnsiTheme="minorHAnsi" w:cstheme="minorHAnsi"/>
              </w:rPr>
              <w:t>, f</w:t>
            </w:r>
            <w:r w:rsidR="0001379E" w:rsidRPr="00273BCF">
              <w:rPr>
                <w:rFonts w:asciiTheme="minorHAnsi" w:hAnsiTheme="minorHAnsi" w:cstheme="minorHAnsi"/>
              </w:rPr>
              <w:t>or example, awareness raising programmes for children and youth, special programmes for vulnerable populations, etc.</w:t>
            </w:r>
          </w:p>
          <w:p w14:paraId="0BE59508" w14:textId="5AD41541" w:rsidR="00790A98" w:rsidRDefault="00790A98" w:rsidP="0001379E">
            <w:pPr>
              <w:rPr>
                <w:rFonts w:asciiTheme="minorHAnsi" w:hAnsiTheme="minorHAnsi" w:cstheme="minorHAnsi"/>
              </w:rPr>
            </w:pPr>
          </w:p>
        </w:tc>
        <w:tc>
          <w:tcPr>
            <w:tcW w:w="5052" w:type="dxa"/>
          </w:tcPr>
          <w:p w14:paraId="0192FD92" w14:textId="77777777" w:rsidR="0001379E" w:rsidRDefault="0001379E" w:rsidP="0001379E">
            <w:pPr>
              <w:rPr>
                <w:rFonts w:asciiTheme="minorHAnsi" w:hAnsiTheme="minorHAnsi" w:cstheme="minorHAnsi"/>
              </w:rPr>
            </w:pPr>
          </w:p>
        </w:tc>
      </w:tr>
    </w:tbl>
    <w:p w14:paraId="29032362" w14:textId="508FE53E" w:rsidR="007A069A" w:rsidRPr="0034229D" w:rsidRDefault="006617DF" w:rsidP="00E310A2">
      <w:pPr>
        <w:spacing w:after="0"/>
        <w:rPr>
          <w:rFonts w:asciiTheme="minorHAnsi" w:hAnsiTheme="minorHAnsi" w:cstheme="minorHAnsi"/>
        </w:rPr>
      </w:pPr>
      <w:r>
        <w:rPr>
          <w:rFonts w:asciiTheme="minorHAnsi" w:hAnsiTheme="minorHAnsi" w:cstheme="minorHAnsi"/>
        </w:rPr>
        <w:t xml:space="preserve"> </w:t>
      </w:r>
    </w:p>
    <w:p w14:paraId="0C14FF5D" w14:textId="14E8F85B" w:rsidR="000E45D9" w:rsidRDefault="00B47581" w:rsidP="000E45D9">
      <w:pPr>
        <w:pStyle w:val="Prrafodelista"/>
        <w:numPr>
          <w:ilvl w:val="0"/>
          <w:numId w:val="3"/>
        </w:numPr>
        <w:rPr>
          <w:rFonts w:asciiTheme="minorHAnsi" w:hAnsiTheme="minorHAnsi" w:cstheme="minorHAnsi"/>
          <w:b/>
          <w:bCs/>
        </w:rPr>
      </w:pPr>
      <w:r>
        <w:rPr>
          <w:rFonts w:asciiTheme="minorHAnsi" w:hAnsiTheme="minorHAnsi" w:cstheme="minorHAnsi"/>
          <w:b/>
          <w:bCs/>
        </w:rPr>
        <w:t xml:space="preserve">Section B: </w:t>
      </w:r>
      <w:r w:rsidR="006E14C9">
        <w:rPr>
          <w:rFonts w:asciiTheme="minorHAnsi" w:hAnsiTheme="minorHAnsi" w:cstheme="minorHAnsi"/>
          <w:b/>
          <w:bCs/>
        </w:rPr>
        <w:t>Funded Secretariat Strategic Plan</w:t>
      </w:r>
    </w:p>
    <w:tbl>
      <w:tblPr>
        <w:tblStyle w:val="Tablaconcuadrcula"/>
        <w:tblW w:w="0" w:type="auto"/>
        <w:tblLook w:val="04A0" w:firstRow="1" w:lastRow="0" w:firstColumn="1" w:lastColumn="0" w:noHBand="0" w:noVBand="1"/>
      </w:tblPr>
      <w:tblGrid>
        <w:gridCol w:w="3964"/>
        <w:gridCol w:w="5052"/>
      </w:tblGrid>
      <w:tr w:rsidR="00E310A2" w14:paraId="3C705884" w14:textId="77777777" w:rsidTr="00F30A50">
        <w:tc>
          <w:tcPr>
            <w:tcW w:w="3964" w:type="dxa"/>
          </w:tcPr>
          <w:p w14:paraId="3F940220" w14:textId="40AED8ED" w:rsidR="00E310A2" w:rsidRPr="00E310A2" w:rsidRDefault="00E310A2" w:rsidP="009760DF">
            <w:pPr>
              <w:rPr>
                <w:rFonts w:asciiTheme="minorHAnsi" w:hAnsiTheme="minorHAnsi" w:cstheme="minorHAnsi"/>
                <w:b/>
                <w:bCs/>
              </w:rPr>
            </w:pPr>
            <w:r>
              <w:rPr>
                <w:rFonts w:asciiTheme="minorHAnsi" w:hAnsiTheme="minorHAnsi" w:cstheme="minorHAnsi"/>
                <w:b/>
                <w:bCs/>
              </w:rPr>
              <w:t>Question</w:t>
            </w:r>
          </w:p>
        </w:tc>
        <w:tc>
          <w:tcPr>
            <w:tcW w:w="5052" w:type="dxa"/>
          </w:tcPr>
          <w:p w14:paraId="2C225700" w14:textId="496BF5F3" w:rsidR="00E310A2" w:rsidRDefault="00E310A2" w:rsidP="009760DF">
            <w:pPr>
              <w:rPr>
                <w:rFonts w:asciiTheme="minorHAnsi" w:hAnsiTheme="minorHAnsi" w:cstheme="minorHAnsi"/>
                <w:b/>
                <w:bCs/>
              </w:rPr>
            </w:pPr>
            <w:r>
              <w:rPr>
                <w:rFonts w:asciiTheme="minorHAnsi" w:hAnsiTheme="minorHAnsi" w:cstheme="minorHAnsi"/>
                <w:b/>
                <w:bCs/>
              </w:rPr>
              <w:t>Comment</w:t>
            </w:r>
          </w:p>
        </w:tc>
      </w:tr>
      <w:tr w:rsidR="00E310A2" w14:paraId="3CCC66DB" w14:textId="77777777" w:rsidTr="00F30A50">
        <w:tc>
          <w:tcPr>
            <w:tcW w:w="3964" w:type="dxa"/>
          </w:tcPr>
          <w:p w14:paraId="4BEEC5F3" w14:textId="67B9C92E" w:rsidR="00151F31" w:rsidRPr="007538C6" w:rsidRDefault="001D6A5D" w:rsidP="00151F31">
            <w:pPr>
              <w:rPr>
                <w:rFonts w:ascii="Times New Roman" w:hAnsi="Times New Roman" w:cs="Times New Roman"/>
                <w:szCs w:val="24"/>
                <w:lang w:eastAsia="en-GB"/>
              </w:rPr>
            </w:pPr>
            <w:r>
              <w:rPr>
                <w:rFonts w:asciiTheme="minorHAnsi" w:hAnsiTheme="minorHAnsi" w:cstheme="minorHAnsi"/>
                <w:b/>
                <w:bCs/>
              </w:rPr>
              <w:t>1</w:t>
            </w:r>
            <w:r w:rsidR="000A0875">
              <w:rPr>
                <w:rFonts w:asciiTheme="minorHAnsi" w:hAnsiTheme="minorHAnsi" w:cstheme="minorHAnsi"/>
                <w:b/>
                <w:bCs/>
              </w:rPr>
              <w:t xml:space="preserve">. </w:t>
            </w:r>
            <w:r w:rsidR="00151F31">
              <w:rPr>
                <w:rFonts w:asciiTheme="minorHAnsi" w:hAnsiTheme="minorHAnsi" w:cstheme="minorHAnsi"/>
                <w:b/>
                <w:bCs/>
              </w:rPr>
              <w:t>Policy voice of the Assembly:</w:t>
            </w:r>
            <w:r w:rsidR="00151F31">
              <w:rPr>
                <w:rFonts w:asciiTheme="minorHAnsi" w:hAnsiTheme="minorHAnsi" w:cstheme="minorHAnsi"/>
              </w:rPr>
              <w:t xml:space="preserve"> </w:t>
            </w:r>
            <w:r w:rsidR="007538C6">
              <w:rPr>
                <w:rFonts w:asciiTheme="minorHAnsi" w:hAnsiTheme="minorHAnsi" w:cstheme="minorHAnsi"/>
                <w:szCs w:val="24"/>
              </w:rPr>
              <w:t>Please provide a brief outline of your plan to support the Assembly with a collaborative, transparent and creative approach in its goal to: a) modernise, b) develop its policy approach, and c) grow in global influence as outlined in the Resolution on The Future of the Conference and the Secretariat adopted in October 2021.</w:t>
            </w:r>
            <w:r w:rsidR="007538C6">
              <w:rPr>
                <w:rStyle w:val="Refdenotaalpie"/>
                <w:rFonts w:asciiTheme="minorHAnsi" w:hAnsiTheme="minorHAnsi" w:cstheme="minorHAnsi"/>
                <w:szCs w:val="24"/>
              </w:rPr>
              <w:footnoteReference w:id="2"/>
            </w:r>
            <w:r w:rsidR="007538C6">
              <w:rPr>
                <w:rFonts w:asciiTheme="minorHAnsi" w:hAnsiTheme="minorHAnsi" w:cstheme="minorHAnsi"/>
                <w:szCs w:val="24"/>
              </w:rPr>
              <w:t xml:space="preserve"> </w:t>
            </w:r>
          </w:p>
          <w:p w14:paraId="1C0831BF" w14:textId="77777777" w:rsidR="00E310A2" w:rsidRPr="00716E3C" w:rsidRDefault="00E310A2" w:rsidP="009760DF">
            <w:pPr>
              <w:rPr>
                <w:rFonts w:asciiTheme="minorHAnsi" w:hAnsiTheme="minorHAnsi" w:cstheme="minorHAnsi"/>
              </w:rPr>
            </w:pPr>
          </w:p>
        </w:tc>
        <w:tc>
          <w:tcPr>
            <w:tcW w:w="5052" w:type="dxa"/>
          </w:tcPr>
          <w:p w14:paraId="6522EB72" w14:textId="13401B59" w:rsidR="00DA2287" w:rsidRPr="00A8283F" w:rsidRDefault="002008FD" w:rsidP="00A8283F">
            <w:pPr>
              <w:rPr>
                <w:rFonts w:asciiTheme="minorHAnsi" w:hAnsiTheme="minorHAnsi" w:cstheme="minorHAnsi"/>
                <w:szCs w:val="24"/>
              </w:rPr>
            </w:pPr>
            <w:r>
              <w:rPr>
                <w:rFonts w:asciiTheme="minorHAnsi" w:hAnsiTheme="minorHAnsi" w:cstheme="minorHAnsi"/>
                <w:szCs w:val="24"/>
              </w:rPr>
              <w:t>By collaborative, transparent</w:t>
            </w:r>
            <w:r w:rsidR="001D6A5D">
              <w:rPr>
                <w:rFonts w:asciiTheme="minorHAnsi" w:hAnsiTheme="minorHAnsi" w:cstheme="minorHAnsi"/>
                <w:szCs w:val="24"/>
              </w:rPr>
              <w:t>,</w:t>
            </w:r>
            <w:r>
              <w:rPr>
                <w:rFonts w:asciiTheme="minorHAnsi" w:hAnsiTheme="minorHAnsi" w:cstheme="minorHAnsi"/>
                <w:szCs w:val="24"/>
              </w:rPr>
              <w:t xml:space="preserve"> and creative approach,</w:t>
            </w:r>
            <w:r w:rsidR="00DA2287">
              <w:rPr>
                <w:rFonts w:asciiTheme="minorHAnsi" w:hAnsiTheme="minorHAnsi" w:cstheme="minorHAnsi"/>
                <w:szCs w:val="24"/>
              </w:rPr>
              <w:t xml:space="preserve"> it is meant:</w:t>
            </w:r>
          </w:p>
          <w:p w14:paraId="321F518D" w14:textId="08A45E38" w:rsidR="00A8283F" w:rsidRPr="00A8283F" w:rsidRDefault="00A8283F" w:rsidP="00A8283F">
            <w:pPr>
              <w:rPr>
                <w:rFonts w:asciiTheme="minorHAnsi" w:hAnsiTheme="minorHAnsi" w:cstheme="minorHAnsi"/>
                <w:b/>
                <w:bCs/>
                <w:szCs w:val="24"/>
              </w:rPr>
            </w:pPr>
            <w:r w:rsidRPr="00A8283F">
              <w:rPr>
                <w:rFonts w:asciiTheme="minorHAnsi" w:hAnsiTheme="minorHAnsi" w:cstheme="minorHAnsi"/>
                <w:b/>
                <w:bCs/>
                <w:szCs w:val="24"/>
              </w:rPr>
              <w:t xml:space="preserve">Collaborative approach: </w:t>
            </w:r>
            <w:r w:rsidRPr="00A8283F">
              <w:rPr>
                <w:rFonts w:asciiTheme="minorHAnsi" w:hAnsiTheme="minorHAnsi" w:cstheme="minorHAnsi"/>
                <w:szCs w:val="24"/>
              </w:rPr>
              <w:t>working across with membership, observers, and staff,</w:t>
            </w:r>
            <w:r w:rsidRPr="00A8283F">
              <w:rPr>
                <w:rFonts w:asciiTheme="minorHAnsi" w:hAnsiTheme="minorHAnsi" w:cstheme="minorHAnsi"/>
                <w:b/>
                <w:bCs/>
                <w:szCs w:val="24"/>
              </w:rPr>
              <w:t xml:space="preserve"> </w:t>
            </w:r>
            <w:r w:rsidRPr="00A8283F">
              <w:rPr>
                <w:rFonts w:asciiTheme="minorHAnsi" w:hAnsiTheme="minorHAnsi" w:cstheme="minorHAnsi"/>
                <w:szCs w:val="24"/>
              </w:rPr>
              <w:t>thinking strategically, in a global context and articulating work across different cultures</w:t>
            </w:r>
          </w:p>
          <w:p w14:paraId="7688557A" w14:textId="1D62E3D7" w:rsidR="00A8283F" w:rsidRPr="00A8283F" w:rsidRDefault="00A8283F" w:rsidP="00A8283F">
            <w:pPr>
              <w:rPr>
                <w:rFonts w:asciiTheme="minorHAnsi" w:hAnsiTheme="minorHAnsi" w:cstheme="minorHAnsi"/>
                <w:szCs w:val="24"/>
              </w:rPr>
            </w:pPr>
            <w:r w:rsidRPr="00A8283F">
              <w:rPr>
                <w:rFonts w:asciiTheme="minorHAnsi" w:hAnsiTheme="minorHAnsi" w:cstheme="minorHAnsi"/>
                <w:b/>
                <w:bCs/>
                <w:szCs w:val="24"/>
              </w:rPr>
              <w:t>Creative</w:t>
            </w:r>
            <w:r w:rsidRPr="00A8283F">
              <w:rPr>
                <w:rFonts w:asciiTheme="minorHAnsi" w:hAnsiTheme="minorHAnsi" w:cstheme="minorHAnsi"/>
                <w:szCs w:val="24"/>
              </w:rPr>
              <w:t xml:space="preserve"> </w:t>
            </w:r>
            <w:r w:rsidRPr="00A8283F">
              <w:rPr>
                <w:rFonts w:asciiTheme="minorHAnsi" w:hAnsiTheme="minorHAnsi" w:cstheme="minorHAnsi"/>
                <w:b/>
                <w:bCs/>
                <w:szCs w:val="24"/>
              </w:rPr>
              <w:t>approach:</w:t>
            </w:r>
            <w:r w:rsidRPr="00A8283F">
              <w:rPr>
                <w:rFonts w:asciiTheme="minorHAnsi" w:hAnsiTheme="minorHAnsi" w:cstheme="minorHAnsi"/>
                <w:szCs w:val="24"/>
              </w:rPr>
              <w:t xml:space="preserve"> Generating unique and original ideas to provide a novel and useful approach to problem-solving, programme design, allows for adaptability. A creative approach increases collaboration.</w:t>
            </w:r>
          </w:p>
          <w:p w14:paraId="67091BCF" w14:textId="23B1B5D8" w:rsidR="00E310A2" w:rsidRDefault="00A8283F" w:rsidP="00A8283F">
            <w:pPr>
              <w:rPr>
                <w:rFonts w:asciiTheme="minorHAnsi" w:hAnsiTheme="minorHAnsi" w:cstheme="minorHAnsi"/>
                <w:szCs w:val="24"/>
              </w:rPr>
            </w:pPr>
            <w:r>
              <w:rPr>
                <w:rFonts w:asciiTheme="minorHAnsi" w:hAnsiTheme="minorHAnsi" w:cstheme="minorHAnsi"/>
                <w:b/>
                <w:bCs/>
                <w:szCs w:val="24"/>
              </w:rPr>
              <w:t xml:space="preserve">Transparent approach: </w:t>
            </w:r>
            <w:r>
              <w:rPr>
                <w:rFonts w:asciiTheme="minorHAnsi" w:hAnsiTheme="minorHAnsi" w:cstheme="minorHAnsi"/>
                <w:szCs w:val="24"/>
              </w:rPr>
              <w:t xml:space="preserve">adopting a transparent approach will build trust in the Secretariat with </w:t>
            </w:r>
            <w:r>
              <w:rPr>
                <w:rFonts w:asciiTheme="minorHAnsi" w:hAnsiTheme="minorHAnsi" w:cstheme="minorHAnsi"/>
                <w:szCs w:val="24"/>
              </w:rPr>
              <w:lastRenderedPageBreak/>
              <w:t xml:space="preserve">members, working groups, </w:t>
            </w:r>
            <w:proofErr w:type="spellStart"/>
            <w:r>
              <w:rPr>
                <w:rFonts w:asciiTheme="minorHAnsi" w:hAnsiTheme="minorHAnsi" w:cstheme="minorHAnsi"/>
                <w:szCs w:val="24"/>
              </w:rPr>
              <w:t>ExCo</w:t>
            </w:r>
            <w:proofErr w:type="spellEnd"/>
            <w:r>
              <w:rPr>
                <w:rFonts w:asciiTheme="minorHAnsi" w:hAnsiTheme="minorHAnsi" w:cstheme="minorHAnsi"/>
                <w:szCs w:val="24"/>
              </w:rPr>
              <w:t>, etc., about all matters related to the Secretariat’s operations.</w:t>
            </w:r>
          </w:p>
          <w:p w14:paraId="0169396B" w14:textId="20B1FB79" w:rsidR="00FE1D11" w:rsidRPr="007538C6" w:rsidRDefault="00FE1D11" w:rsidP="00A8283F">
            <w:pPr>
              <w:rPr>
                <w:rFonts w:asciiTheme="minorHAnsi" w:hAnsiTheme="minorHAnsi" w:cstheme="minorHAnsi"/>
              </w:rPr>
            </w:pPr>
          </w:p>
        </w:tc>
      </w:tr>
      <w:tr w:rsidR="00E310A2" w14:paraId="0B0FEA2B" w14:textId="77777777" w:rsidTr="00F30A50">
        <w:tc>
          <w:tcPr>
            <w:tcW w:w="3964" w:type="dxa"/>
          </w:tcPr>
          <w:p w14:paraId="1573F88E" w14:textId="7246F890" w:rsidR="009B4108" w:rsidRDefault="001D6A5D" w:rsidP="009760DF">
            <w:pPr>
              <w:rPr>
                <w:rFonts w:asciiTheme="minorHAnsi" w:hAnsiTheme="minorHAnsi" w:cstheme="minorHAnsi"/>
              </w:rPr>
            </w:pPr>
            <w:r>
              <w:rPr>
                <w:rFonts w:asciiTheme="minorHAnsi" w:hAnsiTheme="minorHAnsi" w:cstheme="minorHAnsi"/>
                <w:b/>
                <w:bCs/>
              </w:rPr>
              <w:lastRenderedPageBreak/>
              <w:t>2</w:t>
            </w:r>
            <w:r w:rsidR="000A0875">
              <w:rPr>
                <w:rFonts w:asciiTheme="minorHAnsi" w:hAnsiTheme="minorHAnsi" w:cstheme="minorHAnsi"/>
                <w:b/>
                <w:bCs/>
              </w:rPr>
              <w:t xml:space="preserve">. </w:t>
            </w:r>
            <w:r w:rsidR="00E90DF3" w:rsidRPr="00E90DF3">
              <w:rPr>
                <w:rFonts w:asciiTheme="minorHAnsi" w:hAnsiTheme="minorHAnsi" w:cstheme="minorHAnsi"/>
                <w:b/>
                <w:bCs/>
              </w:rPr>
              <w:t xml:space="preserve">Capacity-building: </w:t>
            </w:r>
            <w:r w:rsidR="00E90DF3" w:rsidRPr="00E90DF3">
              <w:rPr>
                <w:rFonts w:asciiTheme="minorHAnsi" w:hAnsiTheme="minorHAnsi" w:cstheme="minorHAnsi"/>
              </w:rPr>
              <w:t>Please provide a brief outline of your plan to support the capacity building approach of the Assembly.</w:t>
            </w:r>
          </w:p>
          <w:p w14:paraId="0892C71D" w14:textId="7304AD29" w:rsidR="009B4108" w:rsidRPr="009B4108" w:rsidRDefault="009B4108" w:rsidP="009760DF">
            <w:pPr>
              <w:rPr>
                <w:rFonts w:asciiTheme="minorHAnsi" w:hAnsiTheme="minorHAnsi" w:cstheme="minorHAnsi"/>
              </w:rPr>
            </w:pPr>
          </w:p>
        </w:tc>
        <w:tc>
          <w:tcPr>
            <w:tcW w:w="5052" w:type="dxa"/>
          </w:tcPr>
          <w:p w14:paraId="01ED6387" w14:textId="5F1B7A5E" w:rsidR="00E310A2" w:rsidRPr="007E3582" w:rsidRDefault="002F72D1" w:rsidP="009760DF">
            <w:pPr>
              <w:rPr>
                <w:rFonts w:asciiTheme="minorHAnsi" w:hAnsiTheme="minorHAnsi" w:cstheme="minorHAnsi"/>
                <w:lang w:val="en-US"/>
              </w:rPr>
            </w:pPr>
            <w:r>
              <w:rPr>
                <w:rFonts w:asciiTheme="minorHAnsi" w:hAnsiTheme="minorHAnsi" w:cstheme="minorHAnsi"/>
              </w:rPr>
              <w:t>By</w:t>
            </w:r>
            <w:r w:rsidR="007E3582">
              <w:rPr>
                <w:rFonts w:asciiTheme="minorHAnsi" w:hAnsiTheme="minorHAnsi" w:cstheme="minorHAnsi"/>
              </w:rPr>
              <w:t xml:space="preserve"> capacity building approach, it is meant</w:t>
            </w:r>
            <w:r w:rsidR="007E3582" w:rsidRPr="007E3582">
              <w:rPr>
                <w:rFonts w:asciiTheme="minorHAnsi" w:hAnsiTheme="minorHAnsi" w:cstheme="minorHAnsi"/>
              </w:rPr>
              <w:t xml:space="preserve"> novel, effective and smarter pedagogical approaches.</w:t>
            </w:r>
          </w:p>
        </w:tc>
      </w:tr>
      <w:tr w:rsidR="00E310A2" w14:paraId="31592835" w14:textId="77777777" w:rsidTr="00F30A50">
        <w:tc>
          <w:tcPr>
            <w:tcW w:w="3964" w:type="dxa"/>
          </w:tcPr>
          <w:p w14:paraId="43D108EA" w14:textId="3D23309A" w:rsidR="00E310A2" w:rsidRDefault="001D6A5D" w:rsidP="009760DF">
            <w:pPr>
              <w:rPr>
                <w:rFonts w:asciiTheme="minorHAnsi" w:hAnsiTheme="minorHAnsi" w:cstheme="minorHAnsi"/>
                <w:lang w:val="en-US"/>
              </w:rPr>
            </w:pPr>
            <w:r>
              <w:rPr>
                <w:rFonts w:asciiTheme="minorHAnsi" w:hAnsiTheme="minorHAnsi" w:cstheme="minorHAnsi"/>
                <w:b/>
                <w:bCs/>
              </w:rPr>
              <w:t>3</w:t>
            </w:r>
            <w:r w:rsidR="000A0875">
              <w:rPr>
                <w:rFonts w:asciiTheme="minorHAnsi" w:hAnsiTheme="minorHAnsi" w:cstheme="minorHAnsi"/>
                <w:b/>
                <w:bCs/>
              </w:rPr>
              <w:t xml:space="preserve">. </w:t>
            </w:r>
            <w:r w:rsidR="009B4108">
              <w:rPr>
                <w:rFonts w:asciiTheme="minorHAnsi" w:hAnsiTheme="minorHAnsi" w:cstheme="minorHAnsi"/>
                <w:b/>
                <w:bCs/>
              </w:rPr>
              <w:t>Support to the Chair and Executive Committee</w:t>
            </w:r>
            <w:r w:rsidR="009B4108">
              <w:rPr>
                <w:rFonts w:asciiTheme="minorHAnsi" w:hAnsiTheme="minorHAnsi" w:cstheme="minorHAnsi"/>
              </w:rPr>
              <w:t xml:space="preserve">: Please provide a brief outline of your plan to support the Chair of the GPA, the Executive Committee, and its </w:t>
            </w:r>
            <w:r w:rsidR="009B4108">
              <w:rPr>
                <w:rFonts w:asciiTheme="minorHAnsi" w:hAnsiTheme="minorHAnsi" w:cstheme="minorHAnsi"/>
                <w:lang w:val="en-US"/>
              </w:rPr>
              <w:t>Strategic Direction Sub Committee (SDSC).</w:t>
            </w:r>
          </w:p>
          <w:p w14:paraId="7C9728F8" w14:textId="637CBFA5" w:rsidR="00FE1D11" w:rsidRDefault="00FE1D11" w:rsidP="009760DF">
            <w:pPr>
              <w:rPr>
                <w:rFonts w:asciiTheme="minorHAnsi" w:hAnsiTheme="minorHAnsi" w:cstheme="minorHAnsi"/>
                <w:b/>
                <w:bCs/>
              </w:rPr>
            </w:pPr>
          </w:p>
        </w:tc>
        <w:tc>
          <w:tcPr>
            <w:tcW w:w="5052" w:type="dxa"/>
          </w:tcPr>
          <w:p w14:paraId="693D8DA9" w14:textId="737340F9" w:rsidR="00E310A2" w:rsidRDefault="00D563C6" w:rsidP="009760DF">
            <w:pPr>
              <w:rPr>
                <w:rFonts w:asciiTheme="minorHAnsi" w:hAnsiTheme="minorHAnsi" w:cstheme="minorHAnsi"/>
              </w:rPr>
            </w:pPr>
            <w:r>
              <w:rPr>
                <w:rFonts w:asciiTheme="minorHAnsi" w:hAnsiTheme="minorHAnsi" w:cstheme="minorHAnsi"/>
              </w:rPr>
              <w:t>The Executive Committee and the Selection Committee seek to understand how pr</w:t>
            </w:r>
            <w:r w:rsidR="00324AC7">
              <w:rPr>
                <w:rFonts w:asciiTheme="minorHAnsi" w:hAnsiTheme="minorHAnsi" w:cstheme="minorHAnsi"/>
              </w:rPr>
              <w:t>o</w:t>
            </w:r>
            <w:r>
              <w:rPr>
                <w:rFonts w:asciiTheme="minorHAnsi" w:hAnsiTheme="minorHAnsi" w:cstheme="minorHAnsi"/>
              </w:rPr>
              <w:t xml:space="preserve">spective GPA Secretariat Host authorities aim to </w:t>
            </w:r>
            <w:r w:rsidR="00BF53D7">
              <w:rPr>
                <w:rFonts w:asciiTheme="minorHAnsi" w:hAnsiTheme="minorHAnsi" w:cstheme="minorHAnsi"/>
              </w:rPr>
              <w:t>coordinate work across committee</w:t>
            </w:r>
            <w:r w:rsidR="00324AC7">
              <w:rPr>
                <w:rFonts w:asciiTheme="minorHAnsi" w:hAnsiTheme="minorHAnsi" w:cstheme="minorHAnsi"/>
              </w:rPr>
              <w:t>s</w:t>
            </w:r>
            <w:r w:rsidR="00BF53D7">
              <w:rPr>
                <w:rFonts w:asciiTheme="minorHAnsi" w:hAnsiTheme="minorHAnsi" w:cstheme="minorHAnsi"/>
              </w:rPr>
              <w:t xml:space="preserve"> and working groups</w:t>
            </w:r>
            <w:r w:rsidR="00781AA9">
              <w:rPr>
                <w:rFonts w:asciiTheme="minorHAnsi" w:hAnsiTheme="minorHAnsi" w:cstheme="minorHAnsi"/>
              </w:rPr>
              <w:t>.</w:t>
            </w:r>
          </w:p>
          <w:p w14:paraId="2C0E932C" w14:textId="4FD73CC9" w:rsidR="001C3F09" w:rsidRDefault="001C3F09" w:rsidP="009760DF">
            <w:pPr>
              <w:rPr>
                <w:rFonts w:asciiTheme="minorHAnsi" w:hAnsiTheme="minorHAnsi" w:cstheme="minorHAnsi"/>
              </w:rPr>
            </w:pPr>
            <w:r>
              <w:rPr>
                <w:rFonts w:asciiTheme="minorHAnsi" w:hAnsiTheme="minorHAnsi" w:cstheme="minorHAnsi"/>
              </w:rPr>
              <w:t xml:space="preserve">Further details about the Secretariat’s responsibilities </w:t>
            </w:r>
            <w:r w:rsidR="00446B29">
              <w:rPr>
                <w:rFonts w:asciiTheme="minorHAnsi" w:hAnsiTheme="minorHAnsi" w:cstheme="minorHAnsi"/>
              </w:rPr>
              <w:t>toward the Executive Committee and the Strategic Direction Sub Committee can be found in Annex 1.</w:t>
            </w:r>
          </w:p>
          <w:p w14:paraId="4E0BAF84" w14:textId="69C0E9F0" w:rsidR="001C3F09" w:rsidRPr="009B4108" w:rsidRDefault="001C3F09" w:rsidP="009760DF">
            <w:pPr>
              <w:rPr>
                <w:rFonts w:asciiTheme="minorHAnsi" w:hAnsiTheme="minorHAnsi" w:cstheme="minorHAnsi"/>
              </w:rPr>
            </w:pPr>
          </w:p>
        </w:tc>
      </w:tr>
      <w:tr w:rsidR="00E310A2" w14:paraId="5B663980" w14:textId="77777777" w:rsidTr="00F30A50">
        <w:tc>
          <w:tcPr>
            <w:tcW w:w="3964" w:type="dxa"/>
          </w:tcPr>
          <w:p w14:paraId="6549BC1F" w14:textId="14AAF9E5" w:rsidR="00E310A2" w:rsidRDefault="001D6A5D" w:rsidP="009760DF">
            <w:pPr>
              <w:rPr>
                <w:rFonts w:asciiTheme="minorHAnsi" w:hAnsiTheme="minorHAnsi" w:cstheme="minorHAnsi"/>
              </w:rPr>
            </w:pPr>
            <w:r>
              <w:rPr>
                <w:rFonts w:asciiTheme="minorHAnsi" w:hAnsiTheme="minorHAnsi" w:cstheme="minorHAnsi"/>
                <w:b/>
                <w:bCs/>
              </w:rPr>
              <w:t>4</w:t>
            </w:r>
            <w:r w:rsidR="00BB5CAA" w:rsidRPr="00B9226F">
              <w:rPr>
                <w:rFonts w:asciiTheme="minorHAnsi" w:hAnsiTheme="minorHAnsi" w:cstheme="minorHAnsi"/>
                <w:b/>
                <w:bCs/>
              </w:rPr>
              <w:t>.</w:t>
            </w:r>
            <w:r w:rsidR="00BB5CAA">
              <w:rPr>
                <w:rFonts w:asciiTheme="minorHAnsi" w:hAnsiTheme="minorHAnsi" w:cstheme="minorHAnsi"/>
              </w:rPr>
              <w:t xml:space="preserve"> </w:t>
            </w:r>
            <w:r w:rsidR="0017177B" w:rsidRPr="0017177B">
              <w:rPr>
                <w:rFonts w:asciiTheme="minorHAnsi" w:hAnsiTheme="minorHAnsi" w:cstheme="minorHAnsi"/>
              </w:rPr>
              <w:t>Please provide a brief outline of your plan to service the GPA Membership. In particular, please explain how you intend to service the membership and promote meaningful interactions with the membership</w:t>
            </w:r>
            <w:r w:rsidR="009E3AF3">
              <w:rPr>
                <w:rFonts w:asciiTheme="minorHAnsi" w:hAnsiTheme="minorHAnsi" w:cstheme="minorHAnsi"/>
              </w:rPr>
              <w:t xml:space="preserve"> </w:t>
            </w:r>
            <w:r w:rsidR="0017177B" w:rsidRPr="0017177B">
              <w:rPr>
                <w:rFonts w:asciiTheme="minorHAnsi" w:hAnsiTheme="minorHAnsi" w:cstheme="minorHAnsi"/>
              </w:rPr>
              <w:t xml:space="preserve">with, </w:t>
            </w:r>
            <w:proofErr w:type="gramStart"/>
            <w:r w:rsidR="0017177B" w:rsidRPr="0017177B">
              <w:rPr>
                <w:rFonts w:asciiTheme="minorHAnsi" w:hAnsiTheme="minorHAnsi" w:cstheme="minorHAnsi"/>
              </w:rPr>
              <w:t>e.g.</w:t>
            </w:r>
            <w:proofErr w:type="gramEnd"/>
            <w:r w:rsidR="0017177B" w:rsidRPr="0017177B">
              <w:rPr>
                <w:rFonts w:asciiTheme="minorHAnsi" w:hAnsiTheme="minorHAnsi" w:cstheme="minorHAnsi"/>
              </w:rPr>
              <w:t xml:space="preserve"> a communication plan, impact maximization plan or member engagement plan.</w:t>
            </w:r>
          </w:p>
          <w:p w14:paraId="44683725" w14:textId="75129778" w:rsidR="00F04B91" w:rsidRPr="0017177B" w:rsidRDefault="00F04B91" w:rsidP="009760DF">
            <w:pPr>
              <w:rPr>
                <w:rFonts w:asciiTheme="minorHAnsi" w:hAnsiTheme="minorHAnsi" w:cstheme="minorHAnsi"/>
              </w:rPr>
            </w:pPr>
          </w:p>
        </w:tc>
        <w:tc>
          <w:tcPr>
            <w:tcW w:w="5052" w:type="dxa"/>
          </w:tcPr>
          <w:p w14:paraId="2944D708" w14:textId="7774A9CA" w:rsidR="00E310A2" w:rsidRDefault="005F37BB" w:rsidP="009760DF">
            <w:pPr>
              <w:rPr>
                <w:rFonts w:asciiTheme="minorHAnsi" w:hAnsiTheme="minorHAnsi" w:cstheme="minorHAnsi"/>
                <w:szCs w:val="24"/>
                <w:lang w:val="en-US"/>
              </w:rPr>
            </w:pPr>
            <w:r>
              <w:rPr>
                <w:rFonts w:asciiTheme="minorHAnsi" w:hAnsiTheme="minorHAnsi" w:cstheme="minorHAnsi"/>
              </w:rPr>
              <w:t xml:space="preserve">By communication plan </w:t>
            </w:r>
            <w:r w:rsidR="00324AC7">
              <w:rPr>
                <w:rFonts w:asciiTheme="minorHAnsi" w:hAnsiTheme="minorHAnsi" w:cstheme="minorHAnsi"/>
              </w:rPr>
              <w:t>it is</w:t>
            </w:r>
            <w:r w:rsidR="006F6865">
              <w:rPr>
                <w:rFonts w:asciiTheme="minorHAnsi" w:hAnsiTheme="minorHAnsi" w:cstheme="minorHAnsi"/>
              </w:rPr>
              <w:t xml:space="preserve"> mean</w:t>
            </w:r>
            <w:r w:rsidR="00324AC7">
              <w:rPr>
                <w:rFonts w:asciiTheme="minorHAnsi" w:hAnsiTheme="minorHAnsi" w:cstheme="minorHAnsi"/>
              </w:rPr>
              <w:t>t</w:t>
            </w:r>
            <w:r w:rsidR="006F6865">
              <w:rPr>
                <w:rFonts w:asciiTheme="minorHAnsi" w:hAnsiTheme="minorHAnsi" w:cstheme="minorHAnsi"/>
              </w:rPr>
              <w:t xml:space="preserve">: </w:t>
            </w:r>
            <w:r w:rsidR="006F6865">
              <w:rPr>
                <w:rFonts w:asciiTheme="minorHAnsi" w:hAnsiTheme="minorHAnsi" w:cstheme="minorHAnsi"/>
                <w:szCs w:val="24"/>
                <w:lang w:val="en-US"/>
              </w:rPr>
              <w:t>a</w:t>
            </w:r>
            <w:r w:rsidR="00324AC7">
              <w:rPr>
                <w:rFonts w:asciiTheme="minorHAnsi" w:hAnsiTheme="minorHAnsi" w:cstheme="minorHAnsi"/>
                <w:szCs w:val="24"/>
                <w:lang w:val="en-US"/>
              </w:rPr>
              <w:t xml:space="preserve"> pre-planned</w:t>
            </w:r>
            <w:r w:rsidR="006F6865">
              <w:rPr>
                <w:rFonts w:asciiTheme="minorHAnsi" w:hAnsiTheme="minorHAnsi" w:cstheme="minorHAnsi"/>
                <w:szCs w:val="24"/>
                <w:lang w:val="en-US"/>
              </w:rPr>
              <w:t xml:space="preserve"> communication strategy with clear goals and objectives, tactics, content development, integrat</w:t>
            </w:r>
            <w:r w:rsidR="00B729E7">
              <w:rPr>
                <w:rFonts w:asciiTheme="minorHAnsi" w:hAnsiTheme="minorHAnsi" w:cstheme="minorHAnsi"/>
                <w:szCs w:val="24"/>
                <w:lang w:val="en-US"/>
              </w:rPr>
              <w:t>ion of the</w:t>
            </w:r>
            <w:r w:rsidR="006F6865">
              <w:rPr>
                <w:rFonts w:asciiTheme="minorHAnsi" w:hAnsiTheme="minorHAnsi" w:cstheme="minorHAnsi"/>
                <w:szCs w:val="24"/>
                <w:lang w:val="en-US"/>
              </w:rPr>
              <w:t xml:space="preserve"> GPA narrative, </w:t>
            </w:r>
            <w:r w:rsidR="00B729E7">
              <w:rPr>
                <w:rFonts w:asciiTheme="minorHAnsi" w:hAnsiTheme="minorHAnsi" w:cstheme="minorHAnsi"/>
                <w:szCs w:val="24"/>
                <w:lang w:val="en-US"/>
              </w:rPr>
              <w:t xml:space="preserve">use of diverse communications channels including </w:t>
            </w:r>
            <w:r w:rsidR="006F6865">
              <w:rPr>
                <w:rFonts w:asciiTheme="minorHAnsi" w:hAnsiTheme="minorHAnsi" w:cstheme="minorHAnsi"/>
                <w:szCs w:val="24"/>
                <w:lang w:val="en-US"/>
              </w:rPr>
              <w:t xml:space="preserve">website updating, newsletter planning, </w:t>
            </w:r>
            <w:r w:rsidR="00B729E7">
              <w:rPr>
                <w:rFonts w:asciiTheme="minorHAnsi" w:hAnsiTheme="minorHAnsi" w:cstheme="minorHAnsi"/>
                <w:szCs w:val="24"/>
                <w:lang w:val="en-US"/>
              </w:rPr>
              <w:t xml:space="preserve">social media, </w:t>
            </w:r>
            <w:r w:rsidR="006F6865">
              <w:rPr>
                <w:rFonts w:asciiTheme="minorHAnsi" w:hAnsiTheme="minorHAnsi" w:cstheme="minorHAnsi"/>
                <w:szCs w:val="24"/>
                <w:lang w:val="en-US"/>
              </w:rPr>
              <w:t>etc.</w:t>
            </w:r>
          </w:p>
          <w:p w14:paraId="6D1861A0" w14:textId="71A6DBA2" w:rsidR="006F6865" w:rsidRPr="0017177B" w:rsidRDefault="006F6865" w:rsidP="009760DF">
            <w:pPr>
              <w:rPr>
                <w:rFonts w:asciiTheme="minorHAnsi" w:hAnsiTheme="minorHAnsi" w:cstheme="minorHAnsi"/>
              </w:rPr>
            </w:pPr>
          </w:p>
        </w:tc>
      </w:tr>
    </w:tbl>
    <w:p w14:paraId="759E0173" w14:textId="3718034F" w:rsidR="00E310A2" w:rsidRDefault="00E310A2" w:rsidP="009760DF">
      <w:pPr>
        <w:rPr>
          <w:rFonts w:asciiTheme="minorHAnsi" w:hAnsiTheme="minorHAnsi" w:cstheme="minorHAnsi"/>
          <w:b/>
          <w:bCs/>
        </w:rPr>
      </w:pPr>
    </w:p>
    <w:p w14:paraId="2F43B495" w14:textId="77777777" w:rsidR="003A0C5B" w:rsidRDefault="003A0C5B" w:rsidP="009760DF">
      <w:pPr>
        <w:rPr>
          <w:rFonts w:asciiTheme="minorHAnsi" w:hAnsiTheme="minorHAnsi" w:cstheme="minorHAnsi"/>
          <w:b/>
          <w:bCs/>
        </w:rPr>
      </w:pPr>
    </w:p>
    <w:p w14:paraId="39197437" w14:textId="7107147D" w:rsidR="006E14C9" w:rsidRDefault="006E14C9" w:rsidP="00B57AF1">
      <w:pPr>
        <w:rPr>
          <w:rFonts w:asciiTheme="minorHAnsi" w:hAnsiTheme="minorHAnsi" w:cstheme="minorHAnsi"/>
        </w:rPr>
      </w:pPr>
      <w:r>
        <w:rPr>
          <w:rFonts w:asciiTheme="minorHAnsi" w:hAnsiTheme="minorHAnsi" w:cstheme="minorHAnsi"/>
          <w:b/>
          <w:bCs/>
        </w:rPr>
        <w:t>Section C: Financial and Organisational Matters</w:t>
      </w:r>
    </w:p>
    <w:p w14:paraId="7EB6BA59" w14:textId="19042E8B" w:rsidR="000236E2" w:rsidRDefault="001609E9" w:rsidP="001609E9">
      <w:pPr>
        <w:rPr>
          <w:rFonts w:asciiTheme="minorHAnsi" w:hAnsiTheme="minorHAnsi" w:cstheme="minorHAnsi"/>
        </w:rPr>
      </w:pPr>
      <w:r>
        <w:rPr>
          <w:rFonts w:asciiTheme="minorHAnsi" w:hAnsiTheme="minorHAnsi" w:cstheme="minorHAnsi"/>
          <w:b/>
          <w:bCs/>
          <w:color w:val="FF0000"/>
        </w:rPr>
        <w:t>Important Note</w:t>
      </w:r>
      <w:r>
        <w:rPr>
          <w:rFonts w:asciiTheme="minorHAnsi" w:hAnsiTheme="minorHAnsi" w:cstheme="minorHAnsi"/>
          <w:b/>
          <w:bCs/>
        </w:rPr>
        <w:t xml:space="preserve">: </w:t>
      </w:r>
      <w:r>
        <w:rPr>
          <w:rFonts w:asciiTheme="minorHAnsi" w:hAnsiTheme="minorHAnsi" w:cstheme="minorHAnsi"/>
        </w:rPr>
        <w:t>At the 43</w:t>
      </w:r>
      <w:r>
        <w:rPr>
          <w:rFonts w:asciiTheme="minorHAnsi" w:hAnsiTheme="minorHAnsi" w:cstheme="minorHAnsi"/>
          <w:vertAlign w:val="superscript"/>
        </w:rPr>
        <w:t>rd</w:t>
      </w:r>
      <w:r>
        <w:rPr>
          <w:rFonts w:asciiTheme="minorHAnsi" w:hAnsiTheme="minorHAnsi" w:cstheme="minorHAnsi"/>
        </w:rPr>
        <w:t xml:space="preserve"> Annual Meeting, the Closed Session agreed to adopt a three-tiered fee-funded model.</w:t>
      </w:r>
      <w:r>
        <w:rPr>
          <w:rStyle w:val="Refdenotaalpie"/>
          <w:rFonts w:asciiTheme="minorHAnsi" w:hAnsiTheme="minorHAnsi" w:cstheme="minorHAnsi"/>
        </w:rPr>
        <w:footnoteReference w:id="3"/>
      </w:r>
      <w:r>
        <w:rPr>
          <w:rFonts w:asciiTheme="minorHAnsi" w:hAnsiTheme="minorHAnsi" w:cstheme="minorHAnsi"/>
        </w:rPr>
        <w:t xml:space="preserve"> Any future Secretariat Host must therefore provide detailed accounts of the expected fees for each tier. Please contact the GPA Secretariat to receive an up-to-date copy of the spreadsheet.</w:t>
      </w:r>
    </w:p>
    <w:tbl>
      <w:tblPr>
        <w:tblStyle w:val="Tablaconcuadrcula"/>
        <w:tblW w:w="0" w:type="auto"/>
        <w:tblLook w:val="04A0" w:firstRow="1" w:lastRow="0" w:firstColumn="1" w:lastColumn="0" w:noHBand="0" w:noVBand="1"/>
      </w:tblPr>
      <w:tblGrid>
        <w:gridCol w:w="3964"/>
        <w:gridCol w:w="5052"/>
      </w:tblGrid>
      <w:tr w:rsidR="001609E9" w14:paraId="21868AFB" w14:textId="77777777" w:rsidTr="00B4520B">
        <w:tc>
          <w:tcPr>
            <w:tcW w:w="3964" w:type="dxa"/>
          </w:tcPr>
          <w:p w14:paraId="1AFBA244" w14:textId="7BAA9222" w:rsidR="00236B96" w:rsidRPr="00236B96" w:rsidRDefault="00C23DFA" w:rsidP="00236B96">
            <w:pPr>
              <w:rPr>
                <w:rFonts w:asciiTheme="minorHAnsi" w:hAnsiTheme="minorHAnsi" w:cstheme="minorHAnsi"/>
              </w:rPr>
            </w:pPr>
            <w:r>
              <w:rPr>
                <w:rFonts w:asciiTheme="minorHAnsi" w:hAnsiTheme="minorHAnsi" w:cstheme="minorHAnsi"/>
                <w:b/>
                <w:bCs/>
              </w:rPr>
              <w:t xml:space="preserve">1. </w:t>
            </w:r>
            <w:r w:rsidR="001609E9" w:rsidRPr="001609E9">
              <w:rPr>
                <w:rFonts w:asciiTheme="minorHAnsi" w:hAnsiTheme="minorHAnsi" w:cstheme="minorHAnsi"/>
                <w:b/>
                <w:bCs/>
              </w:rPr>
              <w:t>Budget</w:t>
            </w:r>
            <w:r w:rsidR="001609E9" w:rsidRPr="001609E9">
              <w:rPr>
                <w:rFonts w:asciiTheme="minorHAnsi" w:hAnsiTheme="minorHAnsi" w:cstheme="minorHAnsi"/>
              </w:rPr>
              <w:t>:</w:t>
            </w:r>
            <w:r w:rsidR="001609E9">
              <w:rPr>
                <w:rFonts w:asciiTheme="minorHAnsi" w:hAnsiTheme="minorHAnsi" w:cstheme="minorHAnsi"/>
              </w:rPr>
              <w:t xml:space="preserve"> </w:t>
            </w:r>
            <w:r w:rsidR="00236B96" w:rsidRPr="00236B96">
              <w:rPr>
                <w:rFonts w:asciiTheme="minorHAnsi" w:hAnsiTheme="minorHAnsi" w:cstheme="minorHAnsi"/>
              </w:rPr>
              <w:t xml:space="preserve">Please provide detailed financial information regarding the estimated budget you will require to host the GPA Secretariat. Please provide detailed information about the costs you expect to incur as Secretariat, explaining in detail the </w:t>
            </w:r>
            <w:r w:rsidR="00236B96" w:rsidRPr="00236B96">
              <w:rPr>
                <w:rFonts w:asciiTheme="minorHAnsi" w:hAnsiTheme="minorHAnsi" w:cstheme="minorHAnsi"/>
              </w:rPr>
              <w:lastRenderedPageBreak/>
              <w:t xml:space="preserve">expected costs for each item. In line with the GPA Rules and Procedures and the 2021 Resolution on the Future of the Conference and the Secretariat, please provide your budget projections for </w:t>
            </w:r>
            <w:r w:rsidR="00236B96" w:rsidRPr="00C23DFA">
              <w:rPr>
                <w:rFonts w:asciiTheme="minorHAnsi" w:hAnsiTheme="minorHAnsi" w:cstheme="minorHAnsi"/>
                <w:b/>
                <w:bCs/>
              </w:rPr>
              <w:t>2 years</w:t>
            </w:r>
            <w:r w:rsidR="00236B96" w:rsidRPr="00236B96">
              <w:rPr>
                <w:rFonts w:asciiTheme="minorHAnsi" w:hAnsiTheme="minorHAnsi" w:cstheme="minorHAnsi"/>
              </w:rPr>
              <w:t>, detailing the expected costs for each year separately. Please bear in mind that the membership fees will remain fixed for the duration of your tenure as Secretariat.</w:t>
            </w:r>
          </w:p>
          <w:p w14:paraId="5036CE35" w14:textId="77777777" w:rsidR="001609E9" w:rsidRDefault="00236B96" w:rsidP="00236B96">
            <w:pPr>
              <w:rPr>
                <w:rFonts w:asciiTheme="minorHAnsi" w:hAnsiTheme="minorHAnsi" w:cstheme="minorHAnsi"/>
              </w:rPr>
            </w:pPr>
            <w:r w:rsidRPr="00236B96">
              <w:rPr>
                <w:rFonts w:asciiTheme="minorHAnsi" w:hAnsiTheme="minorHAnsi" w:cstheme="minorHAnsi"/>
              </w:rPr>
              <w:t>Please adjust the table below according to your needs, including adding or deleting any cost descriptions.</w:t>
            </w:r>
          </w:p>
          <w:p w14:paraId="203D7C30" w14:textId="47317A8A" w:rsidR="00236B96" w:rsidRPr="001609E9" w:rsidRDefault="00236B96" w:rsidP="00236B96">
            <w:pPr>
              <w:rPr>
                <w:rFonts w:asciiTheme="minorHAnsi" w:hAnsiTheme="minorHAnsi" w:cstheme="minorHAnsi"/>
              </w:rPr>
            </w:pPr>
          </w:p>
        </w:tc>
        <w:tc>
          <w:tcPr>
            <w:tcW w:w="5052" w:type="dxa"/>
          </w:tcPr>
          <w:p w14:paraId="64288288" w14:textId="73464FEC" w:rsidR="009C146F" w:rsidRDefault="0046764E" w:rsidP="001609E9">
            <w:pPr>
              <w:rPr>
                <w:rFonts w:asciiTheme="minorHAnsi" w:hAnsiTheme="minorHAnsi" w:cstheme="minorHAnsi"/>
              </w:rPr>
            </w:pPr>
            <w:r>
              <w:rPr>
                <w:rFonts w:asciiTheme="minorHAnsi" w:hAnsiTheme="minorHAnsi" w:cstheme="minorHAnsi"/>
              </w:rPr>
              <w:lastRenderedPageBreak/>
              <w:t xml:space="preserve">The table provided in the application form </w:t>
            </w:r>
            <w:r w:rsidR="00767963">
              <w:rPr>
                <w:rFonts w:asciiTheme="minorHAnsi" w:hAnsiTheme="minorHAnsi" w:cstheme="minorHAnsi"/>
              </w:rPr>
              <w:t xml:space="preserve">is based on the cost estimates provided in </w:t>
            </w:r>
            <w:r w:rsidR="007B535A">
              <w:rPr>
                <w:rFonts w:asciiTheme="minorHAnsi" w:hAnsiTheme="minorHAnsi" w:cstheme="minorHAnsi"/>
              </w:rPr>
              <w:t xml:space="preserve">the Explanatory Note in </w:t>
            </w:r>
            <w:r w:rsidR="00321028">
              <w:rPr>
                <w:rFonts w:asciiTheme="minorHAnsi" w:hAnsiTheme="minorHAnsi" w:cstheme="minorHAnsi"/>
              </w:rPr>
              <w:t xml:space="preserve">Annex </w:t>
            </w:r>
            <w:r w:rsidR="007B535A">
              <w:rPr>
                <w:rFonts w:asciiTheme="minorHAnsi" w:hAnsiTheme="minorHAnsi" w:cstheme="minorHAnsi"/>
              </w:rPr>
              <w:t>1</w:t>
            </w:r>
            <w:r w:rsidR="00321028">
              <w:rPr>
                <w:rFonts w:asciiTheme="minorHAnsi" w:hAnsiTheme="minorHAnsi" w:cstheme="minorHAnsi"/>
              </w:rPr>
              <w:t xml:space="preserve"> of </w:t>
            </w:r>
            <w:r w:rsidR="00767963">
              <w:rPr>
                <w:rFonts w:asciiTheme="minorHAnsi" w:hAnsiTheme="minorHAnsi" w:cstheme="minorHAnsi"/>
              </w:rPr>
              <w:t xml:space="preserve">the </w:t>
            </w:r>
            <w:r w:rsidR="00B729E7">
              <w:rPr>
                <w:rFonts w:asciiTheme="minorHAnsi" w:hAnsiTheme="minorHAnsi" w:cstheme="minorHAnsi"/>
              </w:rPr>
              <w:t xml:space="preserve">adopted </w:t>
            </w:r>
            <w:r w:rsidR="00767963">
              <w:rPr>
                <w:rFonts w:asciiTheme="minorHAnsi" w:hAnsiTheme="minorHAnsi" w:cstheme="minorHAnsi"/>
              </w:rPr>
              <w:t>2021 Resolution o</w:t>
            </w:r>
            <w:r w:rsidR="00321028">
              <w:rPr>
                <w:rFonts w:asciiTheme="minorHAnsi" w:hAnsiTheme="minorHAnsi" w:cstheme="minorHAnsi"/>
              </w:rPr>
              <w:t>n</w:t>
            </w:r>
            <w:r w:rsidR="00767963">
              <w:rPr>
                <w:rFonts w:asciiTheme="minorHAnsi" w:hAnsiTheme="minorHAnsi" w:cstheme="minorHAnsi"/>
              </w:rPr>
              <w:t xml:space="preserve"> the Future of the </w:t>
            </w:r>
            <w:r w:rsidR="00321028">
              <w:rPr>
                <w:rFonts w:asciiTheme="minorHAnsi" w:hAnsiTheme="minorHAnsi" w:cstheme="minorHAnsi"/>
              </w:rPr>
              <w:t>Conference</w:t>
            </w:r>
            <w:r w:rsidR="00767963">
              <w:rPr>
                <w:rFonts w:asciiTheme="minorHAnsi" w:hAnsiTheme="minorHAnsi" w:cstheme="minorHAnsi"/>
              </w:rPr>
              <w:t xml:space="preserve"> and the Secretariat</w:t>
            </w:r>
            <w:r w:rsidR="00321028">
              <w:rPr>
                <w:rFonts w:asciiTheme="minorHAnsi" w:hAnsiTheme="minorHAnsi" w:cstheme="minorHAnsi"/>
              </w:rPr>
              <w:t>.</w:t>
            </w:r>
          </w:p>
          <w:p w14:paraId="6B7506BE" w14:textId="77777777" w:rsidR="003A60C9" w:rsidRDefault="003A60C9" w:rsidP="001609E9">
            <w:pPr>
              <w:rPr>
                <w:rFonts w:asciiTheme="minorHAnsi" w:hAnsiTheme="minorHAnsi" w:cstheme="minorHAnsi"/>
              </w:rPr>
            </w:pPr>
          </w:p>
          <w:p w14:paraId="2D34F712" w14:textId="71E9BE50" w:rsidR="0046764E" w:rsidRDefault="00321028" w:rsidP="001609E9">
            <w:pPr>
              <w:rPr>
                <w:rFonts w:asciiTheme="minorHAnsi" w:hAnsiTheme="minorHAnsi" w:cstheme="minorHAnsi"/>
              </w:rPr>
            </w:pPr>
            <w:r>
              <w:rPr>
                <w:rFonts w:asciiTheme="minorHAnsi" w:hAnsiTheme="minorHAnsi" w:cstheme="minorHAnsi"/>
              </w:rPr>
              <w:lastRenderedPageBreak/>
              <w:t xml:space="preserve">Please note that some costs, such as </w:t>
            </w:r>
            <w:r w:rsidR="00874C2A">
              <w:rPr>
                <w:rFonts w:asciiTheme="minorHAnsi" w:hAnsiTheme="minorHAnsi" w:cstheme="minorHAnsi"/>
              </w:rPr>
              <w:t xml:space="preserve">the GPA website maintenance are fixed and cannot be changed. Cost estimates </w:t>
            </w:r>
            <w:r w:rsidR="0019442C">
              <w:rPr>
                <w:rFonts w:asciiTheme="minorHAnsi" w:hAnsiTheme="minorHAnsi" w:cstheme="minorHAnsi"/>
              </w:rPr>
              <w:t xml:space="preserve">for the fixed items </w:t>
            </w:r>
            <w:r w:rsidR="00874C2A">
              <w:rPr>
                <w:rFonts w:asciiTheme="minorHAnsi" w:hAnsiTheme="minorHAnsi" w:cstheme="minorHAnsi"/>
              </w:rPr>
              <w:t>can be provided by the current GPA secretariat</w:t>
            </w:r>
            <w:r w:rsidR="00B729E7">
              <w:rPr>
                <w:rFonts w:asciiTheme="minorHAnsi" w:hAnsiTheme="minorHAnsi" w:cstheme="minorHAnsi"/>
              </w:rPr>
              <w:t xml:space="preserve"> to you on request</w:t>
            </w:r>
            <w:r w:rsidR="00874C2A">
              <w:rPr>
                <w:rFonts w:asciiTheme="minorHAnsi" w:hAnsiTheme="minorHAnsi" w:cstheme="minorHAnsi"/>
              </w:rPr>
              <w:t>.</w:t>
            </w:r>
          </w:p>
          <w:p w14:paraId="71D207EA" w14:textId="3BCC71C2" w:rsidR="00BB4DFE" w:rsidRPr="00236B96" w:rsidRDefault="00BB4DFE" w:rsidP="001609E9">
            <w:pPr>
              <w:rPr>
                <w:rFonts w:asciiTheme="minorHAnsi" w:hAnsiTheme="minorHAnsi" w:cstheme="minorHAnsi"/>
              </w:rPr>
            </w:pPr>
          </w:p>
        </w:tc>
      </w:tr>
      <w:tr w:rsidR="001609E9" w14:paraId="6810D3E8" w14:textId="77777777" w:rsidTr="00B4520B">
        <w:tc>
          <w:tcPr>
            <w:tcW w:w="3964" w:type="dxa"/>
          </w:tcPr>
          <w:p w14:paraId="13B286D5" w14:textId="406BBC05" w:rsidR="00E835E6" w:rsidRDefault="00C23DFA" w:rsidP="001609E9">
            <w:pPr>
              <w:rPr>
                <w:rFonts w:asciiTheme="minorHAnsi" w:hAnsiTheme="minorHAnsi" w:cstheme="minorHAnsi"/>
              </w:rPr>
            </w:pPr>
            <w:r>
              <w:rPr>
                <w:rFonts w:asciiTheme="minorHAnsi" w:hAnsiTheme="minorHAnsi" w:cstheme="minorHAnsi"/>
                <w:b/>
                <w:bCs/>
              </w:rPr>
              <w:lastRenderedPageBreak/>
              <w:t xml:space="preserve">2. </w:t>
            </w:r>
            <w:r w:rsidR="00B6476B" w:rsidRPr="00B6476B">
              <w:rPr>
                <w:rFonts w:asciiTheme="minorHAnsi" w:hAnsiTheme="minorHAnsi" w:cstheme="minorHAnsi"/>
                <w:b/>
                <w:bCs/>
              </w:rPr>
              <w:t xml:space="preserve">Funding sources: </w:t>
            </w:r>
            <w:r w:rsidR="00B6476B" w:rsidRPr="00B6476B">
              <w:rPr>
                <w:rFonts w:asciiTheme="minorHAnsi" w:hAnsiTheme="minorHAnsi" w:cstheme="minorHAnsi"/>
              </w:rPr>
              <w:t>Please select how you intend to fund the Secretariat. Please select all those that apply.</w:t>
            </w:r>
          </w:p>
          <w:p w14:paraId="418E731C" w14:textId="5495D8FF" w:rsidR="00E835E6" w:rsidRPr="00E835E6" w:rsidRDefault="00E835E6" w:rsidP="001609E9">
            <w:pPr>
              <w:rPr>
                <w:rFonts w:asciiTheme="minorHAnsi" w:hAnsiTheme="minorHAnsi" w:cstheme="minorHAnsi"/>
              </w:rPr>
            </w:pPr>
          </w:p>
        </w:tc>
        <w:tc>
          <w:tcPr>
            <w:tcW w:w="5052" w:type="dxa"/>
          </w:tcPr>
          <w:p w14:paraId="6F17AD74" w14:textId="08293578" w:rsidR="00AD6D40" w:rsidRDefault="00836A58" w:rsidP="001609E9">
            <w:pPr>
              <w:rPr>
                <w:rFonts w:asciiTheme="minorHAnsi" w:hAnsiTheme="minorHAnsi" w:cstheme="minorHAnsi"/>
              </w:rPr>
            </w:pPr>
            <w:r w:rsidRPr="00E73064">
              <w:rPr>
                <w:rFonts w:asciiTheme="minorHAnsi" w:hAnsiTheme="minorHAnsi" w:cstheme="minorHAnsi"/>
              </w:rPr>
              <w:t xml:space="preserve">As </w:t>
            </w:r>
            <w:r w:rsidR="009F1B4A" w:rsidRPr="00E73064">
              <w:rPr>
                <w:rFonts w:asciiTheme="minorHAnsi" w:hAnsiTheme="minorHAnsi" w:cstheme="minorHAnsi"/>
              </w:rPr>
              <w:t xml:space="preserve">detailed in Rule </w:t>
            </w:r>
            <w:r w:rsidR="003F5883">
              <w:rPr>
                <w:rFonts w:asciiTheme="minorHAnsi" w:hAnsiTheme="minorHAnsi" w:cstheme="minorHAnsi"/>
              </w:rPr>
              <w:t>3.6</w:t>
            </w:r>
            <w:r w:rsidR="00E64B8E">
              <w:rPr>
                <w:rFonts w:asciiTheme="minorHAnsi" w:hAnsiTheme="minorHAnsi" w:cstheme="minorHAnsi"/>
              </w:rPr>
              <w:t xml:space="preserve"> of the GPA Rules and Procedures, a </w:t>
            </w:r>
            <w:r w:rsidR="009D4A7D">
              <w:rPr>
                <w:rFonts w:asciiTheme="minorHAnsi" w:hAnsiTheme="minorHAnsi" w:cstheme="minorHAnsi"/>
              </w:rPr>
              <w:t>S</w:t>
            </w:r>
            <w:r w:rsidR="00E64B8E">
              <w:rPr>
                <w:rFonts w:asciiTheme="minorHAnsi" w:hAnsiTheme="minorHAnsi" w:cstheme="minorHAnsi"/>
              </w:rPr>
              <w:t xml:space="preserve">ecretariat </w:t>
            </w:r>
            <w:r w:rsidR="009D4A7D">
              <w:rPr>
                <w:rFonts w:asciiTheme="minorHAnsi" w:hAnsiTheme="minorHAnsi" w:cstheme="minorHAnsi"/>
              </w:rPr>
              <w:t>H</w:t>
            </w:r>
            <w:r w:rsidR="00E64B8E">
              <w:rPr>
                <w:rFonts w:asciiTheme="minorHAnsi" w:hAnsiTheme="minorHAnsi" w:cstheme="minorHAnsi"/>
              </w:rPr>
              <w:t xml:space="preserve">ost authority may choose to apply membership fees to </w:t>
            </w:r>
            <w:r w:rsidR="00CD4170">
              <w:rPr>
                <w:rFonts w:asciiTheme="minorHAnsi" w:hAnsiTheme="minorHAnsi" w:cstheme="minorHAnsi"/>
              </w:rPr>
              <w:t xml:space="preserve">fund its secretariat-providing services. </w:t>
            </w:r>
          </w:p>
          <w:p w14:paraId="2CBE984A" w14:textId="77777777" w:rsidR="00AD6D40" w:rsidRDefault="00AD6D40" w:rsidP="001609E9">
            <w:pPr>
              <w:rPr>
                <w:rFonts w:asciiTheme="minorHAnsi" w:hAnsiTheme="minorHAnsi" w:cstheme="minorHAnsi"/>
              </w:rPr>
            </w:pPr>
            <w:r>
              <w:rPr>
                <w:rFonts w:asciiTheme="minorHAnsi" w:hAnsiTheme="minorHAnsi" w:cstheme="minorHAnsi"/>
              </w:rPr>
              <w:t xml:space="preserve">However, it is appreciated that some authorities may have other </w:t>
            </w:r>
            <w:r w:rsidR="00641B20">
              <w:rPr>
                <w:rFonts w:asciiTheme="minorHAnsi" w:hAnsiTheme="minorHAnsi" w:cstheme="minorHAnsi"/>
              </w:rPr>
              <w:t>funding resources available to them that would diminish their need to rely on membership fees.</w:t>
            </w:r>
          </w:p>
          <w:p w14:paraId="0B013D4C" w14:textId="6435937F" w:rsidR="001F32E5" w:rsidRDefault="00863695" w:rsidP="001609E9">
            <w:pPr>
              <w:rPr>
                <w:rFonts w:asciiTheme="minorHAnsi" w:hAnsiTheme="minorHAnsi" w:cstheme="minorHAnsi"/>
              </w:rPr>
            </w:pPr>
            <w:r>
              <w:rPr>
                <w:rFonts w:asciiTheme="minorHAnsi" w:hAnsiTheme="minorHAnsi" w:cstheme="minorHAnsi"/>
              </w:rPr>
              <w:t xml:space="preserve">Authorities that wish to apply to host the GPA Secretariat are therefore </w:t>
            </w:r>
            <w:r w:rsidR="00B729E7">
              <w:rPr>
                <w:rFonts w:asciiTheme="minorHAnsi" w:hAnsiTheme="minorHAnsi" w:cstheme="minorHAnsi"/>
              </w:rPr>
              <w:t>free</w:t>
            </w:r>
            <w:r>
              <w:rPr>
                <w:rFonts w:asciiTheme="minorHAnsi" w:hAnsiTheme="minorHAnsi" w:cstheme="minorHAnsi"/>
              </w:rPr>
              <w:t xml:space="preserve"> to decide whether it is necessary to rely on membership fees</w:t>
            </w:r>
            <w:r w:rsidR="007C01BC">
              <w:rPr>
                <w:rFonts w:asciiTheme="minorHAnsi" w:hAnsiTheme="minorHAnsi" w:cstheme="minorHAnsi"/>
              </w:rPr>
              <w:t>, fully or partially</w:t>
            </w:r>
            <w:r w:rsidR="00B729E7">
              <w:rPr>
                <w:rFonts w:asciiTheme="minorHAnsi" w:hAnsiTheme="minorHAnsi" w:cstheme="minorHAnsi"/>
              </w:rPr>
              <w:t>, providing this is agreed with the Executive Committee in advance of the Host’s appointment</w:t>
            </w:r>
            <w:r w:rsidR="007C01BC">
              <w:rPr>
                <w:rFonts w:asciiTheme="minorHAnsi" w:hAnsiTheme="minorHAnsi" w:cstheme="minorHAnsi"/>
              </w:rPr>
              <w:t xml:space="preserve">. </w:t>
            </w:r>
          </w:p>
          <w:p w14:paraId="10E2CE4B" w14:textId="70F5A6CA" w:rsidR="00641B20" w:rsidRPr="00AD6D40" w:rsidRDefault="001F32E5" w:rsidP="001609E9">
            <w:pPr>
              <w:rPr>
                <w:rFonts w:asciiTheme="minorHAnsi" w:hAnsiTheme="minorHAnsi" w:cstheme="minorHAnsi"/>
              </w:rPr>
            </w:pPr>
            <w:r>
              <w:rPr>
                <w:rFonts w:asciiTheme="minorHAnsi" w:hAnsiTheme="minorHAnsi" w:cstheme="minorHAnsi"/>
              </w:rPr>
              <w:t xml:space="preserve">Applications where an authority </w:t>
            </w:r>
            <w:r w:rsidR="007C01BC">
              <w:rPr>
                <w:rFonts w:asciiTheme="minorHAnsi" w:hAnsiTheme="minorHAnsi" w:cstheme="minorHAnsi"/>
              </w:rPr>
              <w:t xml:space="preserve">believes that it can provide the GPA Secretariat without relying on membership fees </w:t>
            </w:r>
            <w:r>
              <w:rPr>
                <w:rFonts w:asciiTheme="minorHAnsi" w:hAnsiTheme="minorHAnsi" w:cstheme="minorHAnsi"/>
              </w:rPr>
              <w:t>will also be considered.</w:t>
            </w:r>
          </w:p>
        </w:tc>
      </w:tr>
      <w:tr w:rsidR="001609E9" w14:paraId="34B3C8E7" w14:textId="77777777" w:rsidTr="00B4520B">
        <w:tc>
          <w:tcPr>
            <w:tcW w:w="3964" w:type="dxa"/>
          </w:tcPr>
          <w:p w14:paraId="6E113D51" w14:textId="6C77F3BC" w:rsidR="001609E9" w:rsidRDefault="005B7E18" w:rsidP="001609E9">
            <w:pPr>
              <w:rPr>
                <w:rFonts w:asciiTheme="minorHAnsi" w:hAnsiTheme="minorHAnsi" w:cstheme="minorHAnsi"/>
              </w:rPr>
            </w:pPr>
            <w:r w:rsidRPr="005B7E18">
              <w:rPr>
                <w:rFonts w:asciiTheme="minorHAnsi" w:hAnsiTheme="minorHAnsi" w:cstheme="minorHAnsi"/>
                <w:b/>
                <w:bCs/>
              </w:rPr>
              <w:t>3.</w:t>
            </w:r>
            <w:r>
              <w:rPr>
                <w:rFonts w:asciiTheme="minorHAnsi" w:hAnsiTheme="minorHAnsi" w:cstheme="minorHAnsi"/>
              </w:rPr>
              <w:t xml:space="preserve"> </w:t>
            </w:r>
            <w:r>
              <w:rPr>
                <w:rFonts w:asciiTheme="minorHAnsi" w:hAnsiTheme="minorHAnsi" w:cstheme="minorHAnsi"/>
                <w:b/>
                <w:bCs/>
              </w:rPr>
              <w:t xml:space="preserve">Funding sources description: </w:t>
            </w:r>
            <w:r w:rsidR="00E835E6">
              <w:rPr>
                <w:rFonts w:asciiTheme="minorHAnsi" w:hAnsiTheme="minorHAnsi" w:cstheme="minorHAnsi"/>
              </w:rPr>
              <w:t>Please provide further information about the options you selected above, detailing the funding sources for the Secretariat, including whether these have already been secured e.g., regional funds applications. If you intend to use multiple sources of funding, please explain the portions you expect to receive from each source (e.g., 50% from membership fees, 50% from regional funds).</w:t>
            </w:r>
          </w:p>
          <w:p w14:paraId="689E621E" w14:textId="64536331" w:rsidR="00CE78A5" w:rsidRPr="00B6476B" w:rsidRDefault="00CE78A5" w:rsidP="001609E9">
            <w:pPr>
              <w:rPr>
                <w:rFonts w:asciiTheme="minorHAnsi" w:hAnsiTheme="minorHAnsi" w:cstheme="minorHAnsi"/>
              </w:rPr>
            </w:pPr>
          </w:p>
        </w:tc>
        <w:tc>
          <w:tcPr>
            <w:tcW w:w="5052" w:type="dxa"/>
          </w:tcPr>
          <w:p w14:paraId="1F26F5E3" w14:textId="7E4195E9" w:rsidR="001609E9" w:rsidRPr="00513157" w:rsidRDefault="001609E9" w:rsidP="001609E9">
            <w:pPr>
              <w:rPr>
                <w:rFonts w:asciiTheme="minorHAnsi" w:hAnsiTheme="minorHAnsi" w:cstheme="minorHAnsi"/>
              </w:rPr>
            </w:pPr>
          </w:p>
        </w:tc>
      </w:tr>
      <w:tr w:rsidR="001609E9" w14:paraId="3F4DDBA6" w14:textId="77777777" w:rsidTr="00B4520B">
        <w:tc>
          <w:tcPr>
            <w:tcW w:w="3964" w:type="dxa"/>
          </w:tcPr>
          <w:p w14:paraId="3E65495C" w14:textId="45C6EBD6" w:rsidR="00271559" w:rsidRDefault="005B7E18" w:rsidP="001609E9">
            <w:pPr>
              <w:rPr>
                <w:rFonts w:asciiTheme="minorHAnsi" w:hAnsiTheme="minorHAnsi" w:cstheme="minorHAnsi"/>
              </w:rPr>
            </w:pPr>
            <w:r>
              <w:rPr>
                <w:rFonts w:asciiTheme="minorHAnsi" w:hAnsiTheme="minorHAnsi" w:cstheme="minorHAnsi"/>
                <w:b/>
                <w:bCs/>
              </w:rPr>
              <w:lastRenderedPageBreak/>
              <w:t xml:space="preserve">4. </w:t>
            </w:r>
            <w:r w:rsidR="00DB5CC9">
              <w:rPr>
                <w:rFonts w:asciiTheme="minorHAnsi" w:hAnsiTheme="minorHAnsi" w:cstheme="minorHAnsi"/>
                <w:b/>
                <w:bCs/>
              </w:rPr>
              <w:t xml:space="preserve">Secretariat Services: </w:t>
            </w:r>
            <w:r w:rsidR="00DB5CC9" w:rsidRPr="00DB5CC9">
              <w:rPr>
                <w:rFonts w:asciiTheme="minorHAnsi" w:hAnsiTheme="minorHAnsi" w:cstheme="minorHAnsi"/>
              </w:rPr>
              <w:t>Article 3.4 of the GPA Rules and Procedures outlines the minimum services that the GPA Secretariat must provide.</w:t>
            </w:r>
          </w:p>
          <w:p w14:paraId="21FCF40D" w14:textId="77777777" w:rsidR="00271559" w:rsidRDefault="00271559" w:rsidP="001609E9">
            <w:pPr>
              <w:rPr>
                <w:rFonts w:asciiTheme="minorHAnsi" w:hAnsiTheme="minorHAnsi" w:cstheme="minorHAnsi"/>
              </w:rPr>
            </w:pPr>
          </w:p>
          <w:p w14:paraId="702F0BAC" w14:textId="4EBC1EF8" w:rsidR="001609E9" w:rsidRDefault="00DB5CC9" w:rsidP="001609E9">
            <w:pPr>
              <w:rPr>
                <w:rFonts w:asciiTheme="minorHAnsi" w:hAnsiTheme="minorHAnsi" w:cstheme="minorHAnsi"/>
                <w:b/>
                <w:bCs/>
              </w:rPr>
            </w:pPr>
            <w:r w:rsidRPr="00DB5CC9">
              <w:rPr>
                <w:rFonts w:asciiTheme="minorHAnsi" w:hAnsiTheme="minorHAnsi" w:cstheme="minorHAnsi"/>
              </w:rPr>
              <w:t>Additionally, the GPA Secretariat may provide additional ones. Please mark which additional services you plan to provide</w:t>
            </w:r>
            <w:r w:rsidR="00103708">
              <w:rPr>
                <w:rFonts w:asciiTheme="minorHAnsi" w:hAnsiTheme="minorHAnsi" w:cstheme="minorHAnsi"/>
              </w:rPr>
              <w:t>.</w:t>
            </w:r>
          </w:p>
        </w:tc>
        <w:tc>
          <w:tcPr>
            <w:tcW w:w="5052" w:type="dxa"/>
          </w:tcPr>
          <w:p w14:paraId="3F94F8CA" w14:textId="2FF11C93" w:rsidR="00283210" w:rsidRDefault="003258CB" w:rsidP="003258CB">
            <w:pPr>
              <w:rPr>
                <w:rFonts w:asciiTheme="minorHAnsi" w:hAnsiTheme="minorHAnsi" w:cstheme="minorHAnsi"/>
              </w:rPr>
            </w:pPr>
            <w:r>
              <w:rPr>
                <w:rFonts w:asciiTheme="minorHAnsi" w:hAnsiTheme="minorHAnsi" w:cstheme="minorHAnsi"/>
              </w:rPr>
              <w:t xml:space="preserve">The GPA Rules and Procedures provide basic information </w:t>
            </w:r>
            <w:r w:rsidR="003A60C9">
              <w:rPr>
                <w:rFonts w:asciiTheme="minorHAnsi" w:hAnsiTheme="minorHAnsi" w:cstheme="minorHAnsi"/>
              </w:rPr>
              <w:t>regarding</w:t>
            </w:r>
            <w:r>
              <w:rPr>
                <w:rFonts w:asciiTheme="minorHAnsi" w:hAnsiTheme="minorHAnsi" w:cstheme="minorHAnsi"/>
              </w:rPr>
              <w:t xml:space="preserve"> the duties of the Secretariat, thereby allowing for some discretion </w:t>
            </w:r>
            <w:proofErr w:type="gramStart"/>
            <w:r>
              <w:rPr>
                <w:rFonts w:asciiTheme="minorHAnsi" w:hAnsiTheme="minorHAnsi" w:cstheme="minorHAnsi"/>
              </w:rPr>
              <w:t>with regard to</w:t>
            </w:r>
            <w:proofErr w:type="gramEnd"/>
            <w:r>
              <w:rPr>
                <w:rFonts w:asciiTheme="minorHAnsi" w:hAnsiTheme="minorHAnsi" w:cstheme="minorHAnsi"/>
              </w:rPr>
              <w:t xml:space="preserve"> the specifics. </w:t>
            </w:r>
            <w:r w:rsidR="00283210">
              <w:rPr>
                <w:rFonts w:asciiTheme="minorHAnsi" w:hAnsiTheme="minorHAnsi" w:cstheme="minorHAnsi"/>
              </w:rPr>
              <w:t xml:space="preserve">These duties outlined in the Rules and Procedures represent the minimum provision of services. </w:t>
            </w:r>
          </w:p>
          <w:p w14:paraId="4204646F" w14:textId="77777777" w:rsidR="00283210" w:rsidRDefault="00283210" w:rsidP="003258CB">
            <w:pPr>
              <w:rPr>
                <w:rFonts w:asciiTheme="minorHAnsi" w:hAnsiTheme="minorHAnsi" w:cstheme="minorHAnsi"/>
              </w:rPr>
            </w:pPr>
          </w:p>
          <w:p w14:paraId="7FCCD061" w14:textId="27214297" w:rsidR="003258CB" w:rsidRDefault="003258CB" w:rsidP="003258CB">
            <w:pPr>
              <w:rPr>
                <w:rFonts w:asciiTheme="minorHAnsi" w:hAnsiTheme="minorHAnsi" w:cstheme="minorHAnsi"/>
              </w:rPr>
            </w:pPr>
            <w:r>
              <w:rPr>
                <w:rFonts w:asciiTheme="minorHAnsi" w:hAnsiTheme="minorHAnsi" w:cstheme="minorHAnsi"/>
              </w:rPr>
              <w:t>However, as the GPA has continued to modernise and expand</w:t>
            </w:r>
            <w:r w:rsidR="00B729E7">
              <w:rPr>
                <w:rFonts w:asciiTheme="minorHAnsi" w:hAnsiTheme="minorHAnsi" w:cstheme="minorHAnsi"/>
              </w:rPr>
              <w:t xml:space="preserve"> and increase its impact globally</w:t>
            </w:r>
            <w:r>
              <w:rPr>
                <w:rFonts w:asciiTheme="minorHAnsi" w:hAnsiTheme="minorHAnsi" w:cstheme="minorHAnsi"/>
              </w:rPr>
              <w:t>, the role and duties of the Secretariat have expanded</w:t>
            </w:r>
            <w:r w:rsidR="001E75F4">
              <w:rPr>
                <w:rFonts w:asciiTheme="minorHAnsi" w:hAnsiTheme="minorHAnsi" w:cstheme="minorHAnsi"/>
              </w:rPr>
              <w:t xml:space="preserve"> too</w:t>
            </w:r>
            <w:r>
              <w:rPr>
                <w:rFonts w:asciiTheme="minorHAnsi" w:hAnsiTheme="minorHAnsi" w:cstheme="minorHAnsi"/>
              </w:rPr>
              <w:t>.</w:t>
            </w:r>
          </w:p>
          <w:p w14:paraId="5A2ED1BA" w14:textId="2309BDB4" w:rsidR="001B55D3" w:rsidRDefault="001B55D3" w:rsidP="003258CB">
            <w:pPr>
              <w:rPr>
                <w:rFonts w:asciiTheme="minorHAnsi" w:hAnsiTheme="minorHAnsi" w:cstheme="minorHAnsi"/>
              </w:rPr>
            </w:pPr>
            <w:r>
              <w:rPr>
                <w:rFonts w:asciiTheme="minorHAnsi" w:hAnsiTheme="minorHAnsi" w:cstheme="minorHAnsi"/>
              </w:rPr>
              <w:t xml:space="preserve">For a more detailed analysis of all the (current) duties and functions of the GPA Secretariat, please see the details in Annex 1. </w:t>
            </w:r>
          </w:p>
          <w:p w14:paraId="47BF6514" w14:textId="77777777" w:rsidR="003C1CCC" w:rsidRDefault="003C1CCC" w:rsidP="003258CB">
            <w:pPr>
              <w:rPr>
                <w:rFonts w:asciiTheme="minorHAnsi" w:hAnsiTheme="minorHAnsi" w:cstheme="minorHAnsi"/>
              </w:rPr>
            </w:pPr>
          </w:p>
          <w:p w14:paraId="2C257E37" w14:textId="4FFD5EB2" w:rsidR="001609E9" w:rsidRDefault="003258CB" w:rsidP="003258CB">
            <w:pPr>
              <w:rPr>
                <w:rFonts w:asciiTheme="minorHAnsi" w:hAnsiTheme="minorHAnsi" w:cstheme="minorHAnsi"/>
              </w:rPr>
            </w:pPr>
            <w:r>
              <w:rPr>
                <w:rFonts w:asciiTheme="minorHAnsi" w:hAnsiTheme="minorHAnsi" w:cstheme="minorHAnsi"/>
              </w:rPr>
              <w:t>The Executive Committee and the Secretariat Selection Committee appreciate that some authorities may be unable to provide all current duties</w:t>
            </w:r>
            <w:r w:rsidR="00AA0F4B">
              <w:rPr>
                <w:rFonts w:asciiTheme="minorHAnsi" w:hAnsiTheme="minorHAnsi" w:cstheme="minorHAnsi"/>
              </w:rPr>
              <w:t xml:space="preserve"> and services</w:t>
            </w:r>
            <w:r w:rsidR="00283210">
              <w:rPr>
                <w:rFonts w:asciiTheme="minorHAnsi" w:hAnsiTheme="minorHAnsi" w:cstheme="minorHAnsi"/>
              </w:rPr>
              <w:t>. Alternatively they</w:t>
            </w:r>
            <w:r w:rsidR="007D619C">
              <w:rPr>
                <w:rFonts w:asciiTheme="minorHAnsi" w:hAnsiTheme="minorHAnsi" w:cstheme="minorHAnsi"/>
              </w:rPr>
              <w:t xml:space="preserve"> may wish to provide additional ones</w:t>
            </w:r>
            <w:r w:rsidR="00283210">
              <w:rPr>
                <w:rFonts w:asciiTheme="minorHAnsi" w:hAnsiTheme="minorHAnsi" w:cstheme="minorHAnsi"/>
              </w:rPr>
              <w:t xml:space="preserve"> on top of the minimum required or indeed on top of what the Secretariat currently offers</w:t>
            </w:r>
            <w:r w:rsidR="007D619C">
              <w:rPr>
                <w:rFonts w:asciiTheme="minorHAnsi" w:hAnsiTheme="minorHAnsi" w:cstheme="minorHAnsi"/>
              </w:rPr>
              <w:t>.</w:t>
            </w:r>
            <w:r w:rsidR="00AA0F4B">
              <w:rPr>
                <w:rFonts w:asciiTheme="minorHAnsi" w:hAnsiTheme="minorHAnsi" w:cstheme="minorHAnsi"/>
              </w:rPr>
              <w:t xml:space="preserve"> </w:t>
            </w:r>
          </w:p>
          <w:p w14:paraId="57DFC9CE" w14:textId="21BB5E83" w:rsidR="00CE78A5" w:rsidRDefault="00CE78A5" w:rsidP="003258CB">
            <w:pPr>
              <w:rPr>
                <w:rFonts w:asciiTheme="minorHAnsi" w:hAnsiTheme="minorHAnsi" w:cstheme="minorHAnsi"/>
                <w:b/>
                <w:bCs/>
              </w:rPr>
            </w:pPr>
          </w:p>
        </w:tc>
      </w:tr>
      <w:tr w:rsidR="001609E9" w14:paraId="67B56915" w14:textId="77777777" w:rsidTr="00B4520B">
        <w:tc>
          <w:tcPr>
            <w:tcW w:w="3964" w:type="dxa"/>
          </w:tcPr>
          <w:p w14:paraId="3092EE0C" w14:textId="73D1EDB0" w:rsidR="001609E9" w:rsidRDefault="00AA0F4B" w:rsidP="001510F0">
            <w:pPr>
              <w:rPr>
                <w:rFonts w:asciiTheme="minorHAnsi" w:hAnsiTheme="minorHAnsi" w:cstheme="minorHAnsi"/>
              </w:rPr>
            </w:pPr>
            <w:r>
              <w:rPr>
                <w:rFonts w:asciiTheme="minorHAnsi" w:hAnsiTheme="minorHAnsi" w:cstheme="minorHAnsi"/>
                <w:b/>
                <w:bCs/>
              </w:rPr>
              <w:t xml:space="preserve">5. </w:t>
            </w:r>
            <w:r w:rsidR="00103708">
              <w:rPr>
                <w:rFonts w:asciiTheme="minorHAnsi" w:hAnsiTheme="minorHAnsi" w:cstheme="minorHAnsi"/>
                <w:b/>
                <w:bCs/>
              </w:rPr>
              <w:t>Working Languages</w:t>
            </w:r>
            <w:r w:rsidR="00103708">
              <w:rPr>
                <w:rFonts w:asciiTheme="minorHAnsi" w:hAnsiTheme="minorHAnsi" w:cstheme="minorHAnsi"/>
              </w:rPr>
              <w:t>: Please confirm that at minimum you have the resources to deliver the Secretariat at least in English</w:t>
            </w:r>
            <w:r w:rsidR="00103708">
              <w:rPr>
                <w:rStyle w:val="Refdenotaalpie"/>
                <w:rFonts w:asciiTheme="minorHAnsi" w:hAnsiTheme="minorHAnsi" w:cstheme="minorHAnsi"/>
              </w:rPr>
              <w:footnoteReference w:id="4"/>
            </w:r>
            <w:r w:rsidR="00103708">
              <w:rPr>
                <w:rFonts w:asciiTheme="minorHAnsi" w:hAnsiTheme="minorHAnsi" w:cstheme="minorHAnsi"/>
              </w:rPr>
              <w:t xml:space="preserve"> language. Please detail whether you intend on relying on the Voluntary Translation Network for any translations to the other official languages of the Assembly or whether your authority will be able to translate some of the documents at its own expense</w:t>
            </w:r>
            <w:r w:rsidR="001510F0">
              <w:rPr>
                <w:rFonts w:asciiTheme="minorHAnsi" w:hAnsiTheme="minorHAnsi" w:cstheme="minorHAnsi"/>
              </w:rPr>
              <w:t>.</w:t>
            </w:r>
          </w:p>
          <w:p w14:paraId="28F033CA" w14:textId="0B575635" w:rsidR="001510F0" w:rsidRPr="00DB5CC9" w:rsidRDefault="001510F0" w:rsidP="001510F0">
            <w:pPr>
              <w:rPr>
                <w:rFonts w:asciiTheme="minorHAnsi" w:hAnsiTheme="minorHAnsi" w:cstheme="minorHAnsi"/>
              </w:rPr>
            </w:pPr>
          </w:p>
        </w:tc>
        <w:tc>
          <w:tcPr>
            <w:tcW w:w="5052" w:type="dxa"/>
          </w:tcPr>
          <w:p w14:paraId="21FFA6F9" w14:textId="47772ABF" w:rsidR="008F2C22" w:rsidRPr="008F2C22" w:rsidRDefault="00672545" w:rsidP="008F2C22">
            <w:pPr>
              <w:rPr>
                <w:rFonts w:asciiTheme="minorHAnsi" w:hAnsiTheme="minorHAnsi" w:cstheme="minorHAnsi"/>
              </w:rPr>
            </w:pPr>
            <w:r w:rsidRPr="00672545">
              <w:rPr>
                <w:rFonts w:asciiTheme="minorHAnsi" w:hAnsiTheme="minorHAnsi" w:cstheme="minorHAnsi"/>
              </w:rPr>
              <w:t>Traditionally, the GPA Secretariat has relied on the Voluntary Translation Network to ensure the GPA’s linguist</w:t>
            </w:r>
            <w:r>
              <w:rPr>
                <w:rFonts w:asciiTheme="minorHAnsi" w:hAnsiTheme="minorHAnsi" w:cstheme="minorHAnsi"/>
              </w:rPr>
              <w:t>ic</w:t>
            </w:r>
            <w:r w:rsidRPr="00672545">
              <w:rPr>
                <w:rFonts w:asciiTheme="minorHAnsi" w:hAnsiTheme="minorHAnsi" w:cstheme="minorHAnsi"/>
              </w:rPr>
              <w:t xml:space="preserve"> diversity is maintained and that all relevant documents are available in English, French and Spanish. Members of the </w:t>
            </w:r>
            <w:r>
              <w:rPr>
                <w:rFonts w:asciiTheme="minorHAnsi" w:hAnsiTheme="minorHAnsi" w:cstheme="minorHAnsi"/>
              </w:rPr>
              <w:t>T</w:t>
            </w:r>
            <w:r w:rsidRPr="00672545">
              <w:rPr>
                <w:rFonts w:asciiTheme="minorHAnsi" w:hAnsiTheme="minorHAnsi" w:cstheme="minorHAnsi"/>
              </w:rPr>
              <w:t xml:space="preserve">ranslation </w:t>
            </w:r>
            <w:r>
              <w:rPr>
                <w:rFonts w:asciiTheme="minorHAnsi" w:hAnsiTheme="minorHAnsi" w:cstheme="minorHAnsi"/>
              </w:rPr>
              <w:t>N</w:t>
            </w:r>
            <w:r w:rsidRPr="00672545">
              <w:rPr>
                <w:rFonts w:asciiTheme="minorHAnsi" w:hAnsiTheme="minorHAnsi" w:cstheme="minorHAnsi"/>
              </w:rPr>
              <w:t>etwork have provided their services at no expense</w:t>
            </w:r>
            <w:r w:rsidR="008A7CB5">
              <w:rPr>
                <w:rFonts w:asciiTheme="minorHAnsi" w:hAnsiTheme="minorHAnsi" w:cstheme="minorHAnsi"/>
              </w:rPr>
              <w:t xml:space="preserve"> in the past, however, due to conflicting priorities the</w:t>
            </w:r>
            <w:r w:rsidR="00283210">
              <w:rPr>
                <w:rFonts w:asciiTheme="minorHAnsi" w:hAnsiTheme="minorHAnsi" w:cstheme="minorHAnsi"/>
              </w:rPr>
              <w:t>re</w:t>
            </w:r>
            <w:r w:rsidR="008A7CB5">
              <w:rPr>
                <w:rFonts w:asciiTheme="minorHAnsi" w:hAnsiTheme="minorHAnsi" w:cstheme="minorHAnsi"/>
              </w:rPr>
              <w:t xml:space="preserve"> may</w:t>
            </w:r>
            <w:r w:rsidR="00283210">
              <w:rPr>
                <w:rFonts w:asciiTheme="minorHAnsi" w:hAnsiTheme="minorHAnsi" w:cstheme="minorHAnsi"/>
              </w:rPr>
              <w:t xml:space="preserve"> be</w:t>
            </w:r>
            <w:r w:rsidR="008F2C22">
              <w:rPr>
                <w:rFonts w:asciiTheme="minorHAnsi" w:hAnsiTheme="minorHAnsi" w:cstheme="minorHAnsi"/>
              </w:rPr>
              <w:t xml:space="preserve"> occasions</w:t>
            </w:r>
            <w:r w:rsidR="00283210">
              <w:rPr>
                <w:rFonts w:asciiTheme="minorHAnsi" w:hAnsiTheme="minorHAnsi" w:cstheme="minorHAnsi"/>
              </w:rPr>
              <w:t xml:space="preserve"> when</w:t>
            </w:r>
            <w:r w:rsidR="008F2C22">
              <w:rPr>
                <w:rFonts w:asciiTheme="minorHAnsi" w:hAnsiTheme="minorHAnsi" w:cstheme="minorHAnsi"/>
              </w:rPr>
              <w:t xml:space="preserve"> they may</w:t>
            </w:r>
            <w:r w:rsidR="008A7CB5">
              <w:rPr>
                <w:rFonts w:asciiTheme="minorHAnsi" w:hAnsiTheme="minorHAnsi" w:cstheme="minorHAnsi"/>
              </w:rPr>
              <w:t xml:space="preserve"> not be </w:t>
            </w:r>
            <w:r w:rsidR="001510F0">
              <w:rPr>
                <w:rFonts w:asciiTheme="minorHAnsi" w:hAnsiTheme="minorHAnsi" w:cstheme="minorHAnsi"/>
              </w:rPr>
              <w:t xml:space="preserve">able to </w:t>
            </w:r>
            <w:r w:rsidR="00BD3519">
              <w:rPr>
                <w:rFonts w:asciiTheme="minorHAnsi" w:hAnsiTheme="minorHAnsi" w:cstheme="minorHAnsi"/>
              </w:rPr>
              <w:t>translate documents for the GPA.</w:t>
            </w:r>
          </w:p>
        </w:tc>
      </w:tr>
      <w:tr w:rsidR="001609E9" w14:paraId="3BD45BEC" w14:textId="77777777" w:rsidTr="00B4520B">
        <w:tc>
          <w:tcPr>
            <w:tcW w:w="3964" w:type="dxa"/>
          </w:tcPr>
          <w:p w14:paraId="049088C8" w14:textId="153181D8" w:rsidR="00622F35" w:rsidRPr="00622F35" w:rsidRDefault="00AA0F4B" w:rsidP="00622F35">
            <w:pPr>
              <w:spacing w:line="256" w:lineRule="auto"/>
              <w:rPr>
                <w:rFonts w:asciiTheme="minorHAnsi" w:hAnsiTheme="minorHAnsi" w:cstheme="minorHAnsi"/>
              </w:rPr>
            </w:pPr>
            <w:r>
              <w:rPr>
                <w:rFonts w:asciiTheme="minorHAnsi" w:hAnsiTheme="minorHAnsi" w:cstheme="minorHAnsi"/>
                <w:b/>
                <w:bCs/>
              </w:rPr>
              <w:t xml:space="preserve">6. </w:t>
            </w:r>
            <w:r w:rsidR="00622F35" w:rsidRPr="00622F35">
              <w:rPr>
                <w:rFonts w:asciiTheme="minorHAnsi" w:hAnsiTheme="minorHAnsi" w:cstheme="minorHAnsi"/>
                <w:b/>
                <w:bCs/>
              </w:rPr>
              <w:t>Human resources</w:t>
            </w:r>
            <w:r w:rsidR="00622F35" w:rsidRPr="00622F35">
              <w:rPr>
                <w:rFonts w:asciiTheme="minorHAnsi" w:hAnsiTheme="minorHAnsi" w:cstheme="minorHAnsi"/>
              </w:rPr>
              <w:t>: Please explain how many staff (in total FTEs) you intend to employ, explaining in detail their roles and job descriptions.</w:t>
            </w:r>
          </w:p>
          <w:p w14:paraId="358D4789" w14:textId="77777777" w:rsidR="001609E9" w:rsidRDefault="001609E9" w:rsidP="001609E9">
            <w:pPr>
              <w:rPr>
                <w:rFonts w:asciiTheme="minorHAnsi" w:hAnsiTheme="minorHAnsi" w:cstheme="minorHAnsi"/>
                <w:b/>
                <w:bCs/>
              </w:rPr>
            </w:pPr>
          </w:p>
        </w:tc>
        <w:tc>
          <w:tcPr>
            <w:tcW w:w="5052" w:type="dxa"/>
          </w:tcPr>
          <w:p w14:paraId="07FE24BF" w14:textId="351A5642" w:rsidR="008A4849" w:rsidRPr="00CE78A5" w:rsidRDefault="008A4849" w:rsidP="001D6A5D">
            <w:pPr>
              <w:rPr>
                <w:rFonts w:asciiTheme="minorHAnsi" w:hAnsiTheme="minorHAnsi" w:cstheme="minorHAnsi"/>
              </w:rPr>
            </w:pPr>
          </w:p>
        </w:tc>
      </w:tr>
      <w:tr w:rsidR="001609E9" w14:paraId="34512850" w14:textId="77777777" w:rsidTr="00B4520B">
        <w:tc>
          <w:tcPr>
            <w:tcW w:w="3964" w:type="dxa"/>
          </w:tcPr>
          <w:p w14:paraId="5CD750D6" w14:textId="334CBB57" w:rsidR="001609E9" w:rsidRDefault="00AA0F4B" w:rsidP="001609E9">
            <w:pPr>
              <w:rPr>
                <w:rFonts w:asciiTheme="minorHAnsi" w:hAnsiTheme="minorHAnsi" w:cstheme="minorHAnsi"/>
                <w:b/>
                <w:bCs/>
              </w:rPr>
            </w:pPr>
            <w:r>
              <w:rPr>
                <w:rFonts w:asciiTheme="minorHAnsi" w:hAnsiTheme="minorHAnsi" w:cstheme="minorHAnsi"/>
                <w:b/>
                <w:bCs/>
              </w:rPr>
              <w:t xml:space="preserve">7. </w:t>
            </w:r>
            <w:r w:rsidR="00834577">
              <w:rPr>
                <w:rFonts w:asciiTheme="minorHAnsi" w:hAnsiTheme="minorHAnsi" w:cstheme="minorHAnsi"/>
                <w:b/>
                <w:bCs/>
              </w:rPr>
              <w:t>Payments</w:t>
            </w:r>
            <w:r w:rsidR="00834577">
              <w:rPr>
                <w:rFonts w:asciiTheme="minorHAnsi" w:hAnsiTheme="minorHAnsi" w:cstheme="minorHAnsi"/>
              </w:rPr>
              <w:t xml:space="preserve">: Please explain the method(s) by which you would be requiring payment from GPA </w:t>
            </w:r>
            <w:r w:rsidR="00834577">
              <w:rPr>
                <w:rFonts w:asciiTheme="minorHAnsi" w:hAnsiTheme="minorHAnsi" w:cstheme="minorHAnsi"/>
              </w:rPr>
              <w:lastRenderedPageBreak/>
              <w:t>members (e.g., bank transfer, card payment, etc). Please bear in mind that GPA members may require specific documentation from the GPA Secretariat Host to enable them to make payments.</w:t>
            </w:r>
          </w:p>
        </w:tc>
        <w:tc>
          <w:tcPr>
            <w:tcW w:w="5052" w:type="dxa"/>
          </w:tcPr>
          <w:p w14:paraId="4B45155B" w14:textId="3E4F0557" w:rsidR="001609E9" w:rsidRPr="00FC563C" w:rsidRDefault="00FC563C" w:rsidP="00FC563C">
            <w:pPr>
              <w:rPr>
                <w:rFonts w:asciiTheme="minorHAnsi" w:hAnsiTheme="minorHAnsi" w:cstheme="minorHAnsi"/>
              </w:rPr>
            </w:pPr>
            <w:r>
              <w:rPr>
                <w:rFonts w:asciiTheme="minorHAnsi" w:hAnsiTheme="minorHAnsi" w:cstheme="minorHAnsi"/>
              </w:rPr>
              <w:lastRenderedPageBreak/>
              <w:t>Pr</w:t>
            </w:r>
            <w:r w:rsidR="00283210">
              <w:rPr>
                <w:rFonts w:asciiTheme="minorHAnsi" w:hAnsiTheme="minorHAnsi" w:cstheme="minorHAnsi"/>
              </w:rPr>
              <w:t>o</w:t>
            </w:r>
            <w:r>
              <w:rPr>
                <w:rFonts w:asciiTheme="minorHAnsi" w:hAnsiTheme="minorHAnsi" w:cstheme="minorHAnsi"/>
              </w:rPr>
              <w:t>spective GPA Secretariat hosts should bear in mind that a</w:t>
            </w:r>
            <w:r w:rsidR="00CF0944">
              <w:rPr>
                <w:rFonts w:asciiTheme="minorHAnsi" w:hAnsiTheme="minorHAnsi" w:cstheme="minorHAnsi"/>
              </w:rPr>
              <w:t>s public bodies</w:t>
            </w:r>
            <w:r w:rsidR="0069126C">
              <w:rPr>
                <w:rFonts w:asciiTheme="minorHAnsi" w:hAnsiTheme="minorHAnsi" w:cstheme="minorHAnsi"/>
              </w:rPr>
              <w:t xml:space="preserve"> </w:t>
            </w:r>
            <w:r w:rsidR="00283210">
              <w:rPr>
                <w:rFonts w:asciiTheme="minorHAnsi" w:hAnsiTheme="minorHAnsi" w:cstheme="minorHAnsi"/>
              </w:rPr>
              <w:t xml:space="preserve">are </w:t>
            </w:r>
            <w:r w:rsidR="0069126C">
              <w:rPr>
                <w:rFonts w:asciiTheme="minorHAnsi" w:hAnsiTheme="minorHAnsi" w:cstheme="minorHAnsi"/>
              </w:rPr>
              <w:t>subject to their local laws</w:t>
            </w:r>
            <w:r w:rsidR="00CF0944">
              <w:rPr>
                <w:rFonts w:asciiTheme="minorHAnsi" w:hAnsiTheme="minorHAnsi" w:cstheme="minorHAnsi"/>
              </w:rPr>
              <w:t xml:space="preserve">, </w:t>
            </w:r>
            <w:r w:rsidR="00BC6657">
              <w:rPr>
                <w:rFonts w:asciiTheme="minorHAnsi" w:hAnsiTheme="minorHAnsi" w:cstheme="minorHAnsi"/>
              </w:rPr>
              <w:t xml:space="preserve">some GPA members </w:t>
            </w:r>
            <w:r w:rsidR="0069126C">
              <w:rPr>
                <w:rFonts w:asciiTheme="minorHAnsi" w:hAnsiTheme="minorHAnsi" w:cstheme="minorHAnsi"/>
              </w:rPr>
              <w:t>may be</w:t>
            </w:r>
            <w:r w:rsidR="00BC6657">
              <w:rPr>
                <w:rFonts w:asciiTheme="minorHAnsi" w:hAnsiTheme="minorHAnsi" w:cstheme="minorHAnsi"/>
              </w:rPr>
              <w:t xml:space="preserve"> restricted </w:t>
            </w:r>
            <w:r w:rsidR="00BC6657">
              <w:rPr>
                <w:rFonts w:asciiTheme="minorHAnsi" w:hAnsiTheme="minorHAnsi" w:cstheme="minorHAnsi"/>
              </w:rPr>
              <w:lastRenderedPageBreak/>
              <w:t xml:space="preserve">in the form </w:t>
            </w:r>
            <w:r w:rsidR="00965FEC">
              <w:rPr>
                <w:rFonts w:asciiTheme="minorHAnsi" w:hAnsiTheme="minorHAnsi" w:cstheme="minorHAnsi"/>
              </w:rPr>
              <w:t xml:space="preserve">and the method of payments </w:t>
            </w:r>
            <w:r w:rsidR="00BC6657">
              <w:rPr>
                <w:rFonts w:asciiTheme="minorHAnsi" w:hAnsiTheme="minorHAnsi" w:cstheme="minorHAnsi"/>
              </w:rPr>
              <w:t>they are allowed to make</w:t>
            </w:r>
            <w:r w:rsidR="00C63AFB">
              <w:rPr>
                <w:rFonts w:asciiTheme="minorHAnsi" w:hAnsiTheme="minorHAnsi" w:cstheme="minorHAnsi"/>
              </w:rPr>
              <w:t>.</w:t>
            </w:r>
            <w:r>
              <w:rPr>
                <w:rFonts w:asciiTheme="minorHAnsi" w:hAnsiTheme="minorHAnsi" w:cstheme="minorHAnsi"/>
              </w:rPr>
              <w:t xml:space="preserve"> It would therefore be preferrable</w:t>
            </w:r>
            <w:r w:rsidR="00AD74F1">
              <w:rPr>
                <w:rFonts w:asciiTheme="minorHAnsi" w:hAnsiTheme="minorHAnsi" w:cstheme="minorHAnsi"/>
              </w:rPr>
              <w:t>, where possible, to provide a range of payment options.</w:t>
            </w:r>
          </w:p>
        </w:tc>
      </w:tr>
      <w:tr w:rsidR="00A42090" w14:paraId="53A49C6E" w14:textId="77777777" w:rsidTr="00B4520B">
        <w:tc>
          <w:tcPr>
            <w:tcW w:w="3964" w:type="dxa"/>
          </w:tcPr>
          <w:p w14:paraId="5332F747" w14:textId="195937A8" w:rsidR="00A42090" w:rsidRPr="00A42090" w:rsidRDefault="005F122A" w:rsidP="00A42090">
            <w:pPr>
              <w:spacing w:line="256" w:lineRule="auto"/>
              <w:rPr>
                <w:rFonts w:asciiTheme="minorHAnsi" w:hAnsiTheme="minorHAnsi" w:cstheme="minorHAnsi"/>
              </w:rPr>
            </w:pPr>
            <w:r>
              <w:rPr>
                <w:rFonts w:asciiTheme="minorHAnsi" w:hAnsiTheme="minorHAnsi" w:cstheme="minorHAnsi"/>
                <w:b/>
                <w:bCs/>
              </w:rPr>
              <w:lastRenderedPageBreak/>
              <w:t xml:space="preserve">8. </w:t>
            </w:r>
            <w:r w:rsidR="00A42090" w:rsidRPr="00A42090">
              <w:rPr>
                <w:rFonts w:asciiTheme="minorHAnsi" w:hAnsiTheme="minorHAnsi" w:cstheme="minorHAnsi"/>
                <w:b/>
                <w:bCs/>
              </w:rPr>
              <w:t>GPA Financial reporting</w:t>
            </w:r>
            <w:r w:rsidR="00A42090" w:rsidRPr="00A42090">
              <w:rPr>
                <w:rFonts w:asciiTheme="minorHAnsi" w:hAnsiTheme="minorHAnsi" w:cstheme="minorHAnsi"/>
              </w:rPr>
              <w:t>: Please confirm that you would agree to provide detailed financial reports regarding the GPA Secretariat expenses to the GPA Executive Committee and the Closed Session for their approval at least on an annual basis. This should include:</w:t>
            </w:r>
          </w:p>
          <w:p w14:paraId="654538DB" w14:textId="77777777" w:rsidR="00A42090" w:rsidRDefault="00A42090" w:rsidP="00A42090">
            <w:pPr>
              <w:pStyle w:val="Prrafodelista"/>
              <w:numPr>
                <w:ilvl w:val="0"/>
                <w:numId w:val="18"/>
              </w:numPr>
              <w:spacing w:line="256" w:lineRule="auto"/>
              <w:rPr>
                <w:rFonts w:asciiTheme="minorHAnsi" w:hAnsiTheme="minorHAnsi" w:cstheme="minorHAnsi"/>
              </w:rPr>
            </w:pPr>
            <w:r>
              <w:rPr>
                <w:rFonts w:asciiTheme="minorHAnsi" w:hAnsiTheme="minorHAnsi" w:cstheme="minorHAnsi"/>
              </w:rPr>
              <w:t>Detailed accounts about the monies spent;</w:t>
            </w:r>
          </w:p>
          <w:p w14:paraId="2BA31023" w14:textId="77777777" w:rsidR="00A42090" w:rsidRDefault="00A42090" w:rsidP="00A42090">
            <w:pPr>
              <w:pStyle w:val="Prrafodelista"/>
              <w:numPr>
                <w:ilvl w:val="0"/>
                <w:numId w:val="18"/>
              </w:numPr>
              <w:spacing w:line="256" w:lineRule="auto"/>
              <w:rPr>
                <w:rFonts w:asciiTheme="minorHAnsi" w:hAnsiTheme="minorHAnsi" w:cstheme="minorHAnsi"/>
              </w:rPr>
            </w:pPr>
            <w:r>
              <w:rPr>
                <w:rFonts w:asciiTheme="minorHAnsi" w:hAnsiTheme="minorHAnsi" w:cstheme="minorHAnsi"/>
              </w:rPr>
              <w:t>Detailed information about the resources allocated to the GPA Secretariat during the entirety of your Authority’s term as GPA Secretariat Host.</w:t>
            </w:r>
          </w:p>
          <w:p w14:paraId="29AEDBBE" w14:textId="77777777" w:rsidR="00A42090" w:rsidRDefault="00A42090" w:rsidP="00A42090">
            <w:pPr>
              <w:pStyle w:val="Prrafodelista"/>
              <w:numPr>
                <w:ilvl w:val="0"/>
                <w:numId w:val="18"/>
              </w:numPr>
              <w:rPr>
                <w:rFonts w:asciiTheme="minorHAnsi" w:hAnsiTheme="minorHAnsi" w:cstheme="minorHAnsi"/>
              </w:rPr>
            </w:pPr>
            <w:r>
              <w:rPr>
                <w:rFonts w:asciiTheme="minorHAnsi" w:hAnsiTheme="minorHAnsi" w:cstheme="minorHAnsi"/>
              </w:rPr>
              <w:t>The services provided to the GPA, including any voluntary services your Authority may decide to provide.</w:t>
            </w:r>
          </w:p>
          <w:p w14:paraId="2BC431BC" w14:textId="77777777" w:rsidR="00A42090" w:rsidRDefault="00A42090" w:rsidP="001609E9">
            <w:pPr>
              <w:rPr>
                <w:rFonts w:asciiTheme="minorHAnsi" w:hAnsiTheme="minorHAnsi" w:cstheme="minorHAnsi"/>
                <w:b/>
                <w:bCs/>
              </w:rPr>
            </w:pPr>
          </w:p>
        </w:tc>
        <w:tc>
          <w:tcPr>
            <w:tcW w:w="5052" w:type="dxa"/>
          </w:tcPr>
          <w:p w14:paraId="028C2AEF" w14:textId="77777777" w:rsidR="00CF223F" w:rsidRDefault="00E66BEE" w:rsidP="00E66BEE">
            <w:pPr>
              <w:rPr>
                <w:rFonts w:asciiTheme="minorHAnsi" w:hAnsiTheme="minorHAnsi" w:cstheme="minorHAnsi"/>
              </w:rPr>
            </w:pPr>
            <w:r w:rsidRPr="00A627C9">
              <w:rPr>
                <w:rFonts w:asciiTheme="minorHAnsi" w:hAnsiTheme="minorHAnsi" w:cstheme="minorHAnsi"/>
              </w:rPr>
              <w:t xml:space="preserve">The GPA </w:t>
            </w:r>
            <w:r>
              <w:rPr>
                <w:rFonts w:asciiTheme="minorHAnsi" w:hAnsiTheme="minorHAnsi" w:cstheme="minorHAnsi"/>
              </w:rPr>
              <w:t xml:space="preserve">Rules and Procedures </w:t>
            </w:r>
            <w:r w:rsidRPr="00A627C9">
              <w:rPr>
                <w:rFonts w:asciiTheme="minorHAnsi" w:hAnsiTheme="minorHAnsi" w:cstheme="minorHAnsi"/>
              </w:rPr>
              <w:t>state that “Secretariat Host Authority Candidates must demonstrate their</w:t>
            </w:r>
            <w:r w:rsidRPr="00C32386">
              <w:rPr>
                <w:rFonts w:asciiTheme="minorHAnsi" w:hAnsiTheme="minorHAnsi" w:cstheme="minorHAnsi"/>
              </w:rPr>
              <w:t xml:space="preserve"> commitment to transparent budget reporting on an annual basis, meeting good governance standards</w:t>
            </w:r>
            <w:r>
              <w:rPr>
                <w:rFonts w:asciiTheme="minorHAnsi" w:hAnsiTheme="minorHAnsi" w:cstheme="minorHAnsi"/>
              </w:rPr>
              <w:t xml:space="preserve">”. </w:t>
            </w:r>
          </w:p>
          <w:p w14:paraId="09180A70" w14:textId="6CA82015" w:rsidR="000A6BC7" w:rsidRDefault="00E66BEE" w:rsidP="00E66BEE">
            <w:pPr>
              <w:rPr>
                <w:rFonts w:asciiTheme="minorHAnsi" w:hAnsiTheme="minorHAnsi" w:cstheme="minorHAnsi"/>
              </w:rPr>
            </w:pPr>
            <w:r>
              <w:rPr>
                <w:rFonts w:asciiTheme="minorHAnsi" w:hAnsiTheme="minorHAnsi" w:cstheme="minorHAnsi"/>
              </w:rPr>
              <w:t xml:space="preserve">It is important that GPA members are provided with detailed information on where their monies are spent and how. Therefore it is crucial that Future Secretariat Hosts commit to transparent financial reporting for each year of being the GPA Secretariat. </w:t>
            </w:r>
          </w:p>
          <w:p w14:paraId="04EA6645" w14:textId="09547BA4" w:rsidR="00E66BEE" w:rsidRPr="00D130C9" w:rsidRDefault="00E66BEE" w:rsidP="00E66BEE">
            <w:pPr>
              <w:rPr>
                <w:rFonts w:asciiTheme="minorHAnsi" w:hAnsiTheme="minorHAnsi" w:cstheme="minorHAnsi"/>
              </w:rPr>
            </w:pPr>
            <w:r w:rsidRPr="000A6BC7">
              <w:rPr>
                <w:rFonts w:asciiTheme="minorHAnsi" w:hAnsiTheme="minorHAnsi" w:cstheme="minorHAnsi"/>
              </w:rPr>
              <w:t>Authorities that are unable to commit themselves to this may not be considered for the role of Secretariat.</w:t>
            </w:r>
          </w:p>
          <w:p w14:paraId="20B4D037" w14:textId="77777777" w:rsidR="00A42090" w:rsidRDefault="00A42090" w:rsidP="001609E9">
            <w:pPr>
              <w:rPr>
                <w:rFonts w:asciiTheme="minorHAnsi" w:hAnsiTheme="minorHAnsi" w:cstheme="minorHAnsi"/>
                <w:b/>
                <w:bCs/>
              </w:rPr>
            </w:pPr>
          </w:p>
        </w:tc>
      </w:tr>
      <w:tr w:rsidR="00A42090" w14:paraId="0C543A89" w14:textId="77777777" w:rsidTr="00B4520B">
        <w:tc>
          <w:tcPr>
            <w:tcW w:w="3964" w:type="dxa"/>
          </w:tcPr>
          <w:p w14:paraId="48885F73" w14:textId="11D118A5" w:rsidR="00233399" w:rsidRPr="00233399" w:rsidRDefault="005F122A" w:rsidP="00233399">
            <w:pPr>
              <w:spacing w:line="256" w:lineRule="auto"/>
              <w:rPr>
                <w:rFonts w:asciiTheme="minorHAnsi" w:hAnsiTheme="minorHAnsi" w:cstheme="minorHAnsi"/>
              </w:rPr>
            </w:pPr>
            <w:r w:rsidRPr="00CF223F">
              <w:rPr>
                <w:rFonts w:asciiTheme="minorHAnsi" w:hAnsiTheme="minorHAnsi" w:cstheme="minorHAnsi"/>
                <w:b/>
                <w:bCs/>
              </w:rPr>
              <w:t>9.</w:t>
            </w:r>
            <w:r>
              <w:rPr>
                <w:rFonts w:asciiTheme="minorHAnsi" w:hAnsiTheme="minorHAnsi" w:cstheme="minorHAnsi"/>
              </w:rPr>
              <w:t xml:space="preserve"> </w:t>
            </w:r>
            <w:r w:rsidR="00233399" w:rsidRPr="00233399">
              <w:rPr>
                <w:rFonts w:asciiTheme="minorHAnsi" w:hAnsiTheme="minorHAnsi" w:cstheme="minorHAnsi"/>
              </w:rPr>
              <w:t>In addition, please explain what kind of financial reporting and auditing rules your authority is subject to. Please explain how this may impact your reporting to the GPA Executive Committee and Closed Session on Secretariat expenses as Secretariat Host.</w:t>
            </w:r>
          </w:p>
          <w:p w14:paraId="5046F3F5" w14:textId="77777777" w:rsidR="00A42090" w:rsidRDefault="00A42090" w:rsidP="001609E9">
            <w:pPr>
              <w:rPr>
                <w:rFonts w:asciiTheme="minorHAnsi" w:hAnsiTheme="minorHAnsi" w:cstheme="minorHAnsi"/>
                <w:b/>
                <w:bCs/>
              </w:rPr>
            </w:pPr>
          </w:p>
        </w:tc>
        <w:tc>
          <w:tcPr>
            <w:tcW w:w="5052" w:type="dxa"/>
          </w:tcPr>
          <w:p w14:paraId="3D686297" w14:textId="77777777" w:rsidR="005F122A" w:rsidRDefault="00283210" w:rsidP="001609E9">
            <w:pPr>
              <w:rPr>
                <w:rFonts w:asciiTheme="minorHAnsi" w:hAnsiTheme="minorHAnsi" w:cstheme="minorHAnsi"/>
              </w:rPr>
            </w:pPr>
            <w:r w:rsidRPr="00CF223F">
              <w:rPr>
                <w:rFonts w:asciiTheme="minorHAnsi" w:hAnsiTheme="minorHAnsi" w:cstheme="minorHAnsi"/>
              </w:rPr>
              <w:t>This may include</w:t>
            </w:r>
            <w:r>
              <w:rPr>
                <w:rFonts w:asciiTheme="minorHAnsi" w:hAnsiTheme="minorHAnsi" w:cstheme="minorHAnsi"/>
              </w:rPr>
              <w:t xml:space="preserve"> annual reports, annual</w:t>
            </w:r>
            <w:r w:rsidRPr="00CF223F">
              <w:rPr>
                <w:rFonts w:asciiTheme="minorHAnsi" w:hAnsiTheme="minorHAnsi" w:cstheme="minorHAnsi"/>
              </w:rPr>
              <w:t xml:space="preserve"> accounts submitted to national legislatures, oversight by national/federal/regional budgetary responsibility bodies in your jurisdiction.</w:t>
            </w:r>
            <w:r>
              <w:rPr>
                <w:rFonts w:asciiTheme="minorHAnsi" w:hAnsiTheme="minorHAnsi" w:cstheme="minorHAnsi"/>
              </w:rPr>
              <w:t xml:space="preserve"> </w:t>
            </w:r>
          </w:p>
          <w:p w14:paraId="2C618FE7" w14:textId="77777777" w:rsidR="005F122A" w:rsidRDefault="005F122A" w:rsidP="001609E9">
            <w:pPr>
              <w:rPr>
                <w:rFonts w:asciiTheme="minorHAnsi" w:hAnsiTheme="minorHAnsi" w:cstheme="minorHAnsi"/>
              </w:rPr>
            </w:pPr>
          </w:p>
          <w:p w14:paraId="4D09CEED" w14:textId="1A788BA5" w:rsidR="00A42090" w:rsidRPr="00CF223F" w:rsidRDefault="00283210" w:rsidP="001609E9">
            <w:pPr>
              <w:rPr>
                <w:rFonts w:asciiTheme="minorHAnsi" w:hAnsiTheme="minorHAnsi" w:cstheme="minorHAnsi"/>
              </w:rPr>
            </w:pPr>
            <w:r>
              <w:rPr>
                <w:rFonts w:asciiTheme="minorHAnsi" w:hAnsiTheme="minorHAnsi" w:cstheme="minorHAnsi"/>
              </w:rPr>
              <w:t>If there is an impact on the calendar that you would expect</w:t>
            </w:r>
            <w:r w:rsidR="005F122A">
              <w:rPr>
                <w:rFonts w:asciiTheme="minorHAnsi" w:hAnsiTheme="minorHAnsi" w:cstheme="minorHAnsi"/>
              </w:rPr>
              <w:t xml:space="preserve"> a formal input/reply</w:t>
            </w:r>
            <w:r>
              <w:rPr>
                <w:rFonts w:asciiTheme="minorHAnsi" w:hAnsiTheme="minorHAnsi" w:cstheme="minorHAnsi"/>
              </w:rPr>
              <w:t xml:space="preserve"> from the Executive Committee, please indicate this here.</w:t>
            </w:r>
          </w:p>
        </w:tc>
      </w:tr>
      <w:tr w:rsidR="00EE3557" w14:paraId="2A39E9D6" w14:textId="77777777" w:rsidTr="00D86CC4">
        <w:trPr>
          <w:trHeight w:val="5938"/>
        </w:trPr>
        <w:tc>
          <w:tcPr>
            <w:tcW w:w="3964" w:type="dxa"/>
          </w:tcPr>
          <w:p w14:paraId="38E045E0" w14:textId="0F271FE7" w:rsidR="00EE3557" w:rsidRDefault="005F122A" w:rsidP="00134545">
            <w:pPr>
              <w:tabs>
                <w:tab w:val="left" w:pos="3118"/>
              </w:tabs>
              <w:spacing w:line="256" w:lineRule="auto"/>
              <w:rPr>
                <w:rFonts w:asciiTheme="minorHAnsi" w:hAnsiTheme="minorHAnsi" w:cstheme="minorHAnsi"/>
              </w:rPr>
            </w:pPr>
            <w:r>
              <w:rPr>
                <w:rFonts w:asciiTheme="minorHAnsi" w:hAnsiTheme="minorHAnsi" w:cstheme="minorHAnsi"/>
                <w:b/>
                <w:bCs/>
              </w:rPr>
              <w:lastRenderedPageBreak/>
              <w:t xml:space="preserve">10. </w:t>
            </w:r>
            <w:r w:rsidR="00EE3557" w:rsidRPr="00134545">
              <w:rPr>
                <w:rFonts w:asciiTheme="minorHAnsi" w:hAnsiTheme="minorHAnsi" w:cstheme="minorHAnsi"/>
                <w:b/>
                <w:bCs/>
              </w:rPr>
              <w:t>Secretariat term:</w:t>
            </w:r>
            <w:r w:rsidR="00EE3557" w:rsidRPr="00134545">
              <w:rPr>
                <w:rFonts w:asciiTheme="minorHAnsi" w:hAnsiTheme="minorHAnsi" w:cstheme="minorHAnsi"/>
              </w:rPr>
              <w:t xml:space="preserve"> Subject to Rule 3.4 of the Rules and Procedures, “[t]he Secretariat will be elected for a renewable term of four years, and it must serve a minimum term of at least two years”. Please confirm that you </w:t>
            </w:r>
            <w:proofErr w:type="gramStart"/>
            <w:r w:rsidR="00EE3557" w:rsidRPr="00134545">
              <w:rPr>
                <w:rFonts w:asciiTheme="minorHAnsi" w:hAnsiTheme="minorHAnsi" w:cstheme="minorHAnsi"/>
              </w:rPr>
              <w:t>are able to</w:t>
            </w:r>
            <w:proofErr w:type="gramEnd"/>
            <w:r w:rsidR="00EE3557" w:rsidRPr="00134545">
              <w:rPr>
                <w:rFonts w:asciiTheme="minorHAnsi" w:hAnsiTheme="minorHAnsi" w:cstheme="minorHAnsi"/>
              </w:rPr>
              <w:t xml:space="preserve"> serve for a minimum term of at least two years and whether you intend to serve as Secretariat for the full term of four years.</w:t>
            </w:r>
          </w:p>
          <w:p w14:paraId="54B089BD" w14:textId="77777777" w:rsidR="00EE3557" w:rsidRPr="00233399" w:rsidRDefault="00EE3557" w:rsidP="00134545">
            <w:pPr>
              <w:tabs>
                <w:tab w:val="left" w:pos="3118"/>
              </w:tabs>
              <w:spacing w:line="256" w:lineRule="auto"/>
              <w:rPr>
                <w:rFonts w:asciiTheme="minorHAnsi" w:hAnsiTheme="minorHAnsi" w:cstheme="minorHAnsi"/>
              </w:rPr>
            </w:pPr>
          </w:p>
          <w:p w14:paraId="36C2A517" w14:textId="309CE2AE" w:rsidR="00EE3557" w:rsidRPr="00233399" w:rsidRDefault="005F122A" w:rsidP="00233399">
            <w:pPr>
              <w:spacing w:line="256" w:lineRule="auto"/>
              <w:rPr>
                <w:rFonts w:asciiTheme="minorHAnsi" w:hAnsiTheme="minorHAnsi" w:cstheme="minorHAnsi"/>
              </w:rPr>
            </w:pPr>
            <w:r>
              <w:rPr>
                <w:rFonts w:asciiTheme="minorHAnsi" w:hAnsiTheme="minorHAnsi" w:cstheme="minorHAnsi"/>
                <w:b/>
                <w:bCs/>
              </w:rPr>
              <w:t xml:space="preserve">11. </w:t>
            </w:r>
            <w:r w:rsidR="00EE3557" w:rsidRPr="003168A7">
              <w:rPr>
                <w:rFonts w:asciiTheme="minorHAnsi" w:hAnsiTheme="minorHAnsi" w:cstheme="minorHAnsi"/>
                <w:b/>
                <w:bCs/>
              </w:rPr>
              <w:t>Secretariat term</w:t>
            </w:r>
            <w:r w:rsidR="00EE3557" w:rsidRPr="003168A7">
              <w:rPr>
                <w:rFonts w:asciiTheme="minorHAnsi" w:hAnsiTheme="minorHAnsi" w:cstheme="minorHAnsi"/>
              </w:rPr>
              <w:t>: Should you intend to serve for the full term of four years please provide a brief outline of your growth plans after year two, including plans to enhance service to the membership, funding (if it is the case), staff, etc.</w:t>
            </w:r>
          </w:p>
        </w:tc>
        <w:tc>
          <w:tcPr>
            <w:tcW w:w="5052" w:type="dxa"/>
          </w:tcPr>
          <w:p w14:paraId="2EC2300F" w14:textId="3EA32AFE" w:rsidR="00EE3557" w:rsidRDefault="00EE3557" w:rsidP="00EE3557">
            <w:pPr>
              <w:rPr>
                <w:rFonts w:asciiTheme="minorHAnsi" w:hAnsiTheme="minorHAnsi" w:cstheme="minorHAnsi"/>
              </w:rPr>
            </w:pPr>
            <w:r>
              <w:rPr>
                <w:rFonts w:asciiTheme="minorHAnsi" w:hAnsiTheme="minorHAnsi" w:cstheme="minorHAnsi"/>
              </w:rPr>
              <w:t xml:space="preserve">To ensure stability and continuity of service, members who wish to apply to serve as Secretariat are encouraged to apply for the full </w:t>
            </w:r>
            <w:r w:rsidR="00283210">
              <w:rPr>
                <w:rFonts w:asciiTheme="minorHAnsi" w:hAnsiTheme="minorHAnsi" w:cstheme="minorHAnsi"/>
              </w:rPr>
              <w:t xml:space="preserve">hosting </w:t>
            </w:r>
            <w:r>
              <w:rPr>
                <w:rFonts w:asciiTheme="minorHAnsi" w:hAnsiTheme="minorHAnsi" w:cstheme="minorHAnsi"/>
              </w:rPr>
              <w:t>term of four years. The Secretariat Selection Committee will take into consideration any mitigating factors that may prevent you from serving the full term of four years.</w:t>
            </w:r>
          </w:p>
          <w:p w14:paraId="644445E2" w14:textId="77777777" w:rsidR="00EE3557" w:rsidRDefault="00EE3557" w:rsidP="001609E9">
            <w:pPr>
              <w:rPr>
                <w:rFonts w:asciiTheme="minorHAnsi" w:hAnsiTheme="minorHAnsi" w:cstheme="minorHAnsi"/>
                <w:b/>
                <w:bCs/>
              </w:rPr>
            </w:pPr>
          </w:p>
        </w:tc>
      </w:tr>
    </w:tbl>
    <w:p w14:paraId="6E59839B" w14:textId="21009C5B" w:rsidR="00FF7322" w:rsidRDefault="00FF7322" w:rsidP="00FF7322">
      <w:pPr>
        <w:rPr>
          <w:rFonts w:asciiTheme="minorHAnsi" w:hAnsiTheme="minorHAnsi" w:cstheme="minorHAnsi"/>
        </w:rPr>
      </w:pPr>
    </w:p>
    <w:p w14:paraId="154B50A5" w14:textId="4A01F9DA" w:rsidR="00FF7322" w:rsidRDefault="00FF7322" w:rsidP="00FF7322">
      <w:pPr>
        <w:rPr>
          <w:rFonts w:asciiTheme="minorHAnsi" w:hAnsiTheme="minorHAnsi" w:cstheme="minorHAnsi"/>
        </w:rPr>
      </w:pPr>
      <w:r>
        <w:rPr>
          <w:rFonts w:asciiTheme="minorHAnsi" w:hAnsiTheme="minorHAnsi" w:cstheme="minorHAnsi"/>
          <w:b/>
          <w:bCs/>
        </w:rPr>
        <w:t>Annex</w:t>
      </w:r>
      <w:r w:rsidR="0034229D">
        <w:rPr>
          <w:rFonts w:asciiTheme="minorHAnsi" w:hAnsiTheme="minorHAnsi" w:cstheme="minorHAnsi"/>
          <w:b/>
          <w:bCs/>
        </w:rPr>
        <w:t>es</w:t>
      </w:r>
    </w:p>
    <w:p w14:paraId="361758CA" w14:textId="2D98E425" w:rsidR="009B6141" w:rsidRPr="00C70CF6" w:rsidRDefault="00BA47A7" w:rsidP="009B6141">
      <w:pPr>
        <w:pStyle w:val="Prrafodelista"/>
        <w:numPr>
          <w:ilvl w:val="0"/>
          <w:numId w:val="4"/>
        </w:numPr>
        <w:rPr>
          <w:rFonts w:asciiTheme="minorHAnsi" w:hAnsiTheme="minorHAnsi" w:cstheme="minorHAnsi"/>
        </w:rPr>
      </w:pPr>
      <w:r w:rsidRPr="00BA47A7">
        <w:rPr>
          <w:rFonts w:asciiTheme="minorHAnsi" w:hAnsiTheme="minorHAnsi" w:cstheme="minorHAnsi"/>
        </w:rPr>
        <w:t>List of Responsibilities of the Host Authority and GPA Secretariat for the GPA Annual Assembly</w:t>
      </w:r>
    </w:p>
    <w:p w14:paraId="54D00310" w14:textId="4B1253A7" w:rsidR="00BA47A7" w:rsidRDefault="00BA47A7">
      <w:pPr>
        <w:rPr>
          <w:rFonts w:asciiTheme="minorHAnsi" w:hAnsiTheme="minorHAnsi" w:cstheme="minorHAnsi"/>
        </w:rPr>
      </w:pPr>
      <w:r>
        <w:rPr>
          <w:rFonts w:asciiTheme="minorHAnsi" w:hAnsiTheme="minorHAnsi" w:cstheme="minorHAnsi"/>
        </w:rPr>
        <w:br w:type="page"/>
      </w:r>
    </w:p>
    <w:p w14:paraId="76CF4C6F" w14:textId="598F5D6A" w:rsidR="00193392" w:rsidRDefault="004A796A" w:rsidP="00193392">
      <w:pPr>
        <w:pStyle w:val="Ttulo2"/>
        <w:rPr>
          <w:b/>
          <w:bCs/>
        </w:rPr>
      </w:pPr>
      <w:r>
        <w:rPr>
          <w:b/>
          <w:bCs/>
        </w:rPr>
        <w:lastRenderedPageBreak/>
        <w:t xml:space="preserve">Annex 1: </w:t>
      </w:r>
      <w:r w:rsidR="00BA47A7" w:rsidRPr="00BA47A7">
        <w:rPr>
          <w:b/>
          <w:bCs/>
        </w:rPr>
        <w:t>List of Responsibilities of the Host Authority and GPA Secretariat for the GPA Annual Assembly</w:t>
      </w:r>
    </w:p>
    <w:p w14:paraId="179A1BBE" w14:textId="77777777" w:rsidR="00193392" w:rsidRPr="00193392" w:rsidRDefault="00193392" w:rsidP="00193392"/>
    <w:p w14:paraId="5297CDD1" w14:textId="41B18630" w:rsidR="00193392" w:rsidRPr="00193392" w:rsidRDefault="00193392" w:rsidP="00193392">
      <w:pPr>
        <w:spacing w:after="120" w:line="240" w:lineRule="auto"/>
        <w:contextualSpacing/>
        <w:jc w:val="center"/>
        <w:rPr>
          <w:rFonts w:ascii="Calibri" w:eastAsia="Calibri" w:hAnsi="Calibri" w:cs="Times New Roman"/>
          <w:color w:val="000000"/>
        </w:rPr>
      </w:pPr>
      <w:r w:rsidRPr="00193392">
        <w:rPr>
          <w:rFonts w:ascii="Calibri" w:eastAsia="Calibri" w:hAnsi="Calibri" w:cs="Times New Roman"/>
          <w:noProof/>
          <w:color w:val="000000"/>
        </w:rPr>
        <w:drawing>
          <wp:inline distT="0" distB="0" distL="0" distR="0" wp14:anchorId="5275C2CB" wp14:editId="0ABEBA0B">
            <wp:extent cx="1005840" cy="1013460"/>
            <wp:effectExtent l="0" t="0" r="3810" b="0"/>
            <wp:docPr id="22"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0"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13460"/>
                    </a:xfrm>
                    <a:prstGeom prst="rect">
                      <a:avLst/>
                    </a:prstGeom>
                    <a:noFill/>
                  </pic:spPr>
                </pic:pic>
              </a:graphicData>
            </a:graphic>
          </wp:inline>
        </w:drawing>
      </w:r>
    </w:p>
    <w:tbl>
      <w:tblPr>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93392" w:rsidRPr="00193392" w14:paraId="685FD685" w14:textId="77777777" w:rsidTr="00193392">
        <w:tc>
          <w:tcPr>
            <w:tcW w:w="5000" w:type="pct"/>
            <w:shd w:val="clear" w:color="auto" w:fill="4472C4"/>
          </w:tcPr>
          <w:p w14:paraId="24BFAD15" w14:textId="77777777" w:rsidR="00193392" w:rsidRPr="00193392" w:rsidRDefault="00193392" w:rsidP="00193392">
            <w:pPr>
              <w:spacing w:after="120" w:line="240" w:lineRule="auto"/>
              <w:contextualSpacing/>
              <w:jc w:val="center"/>
              <w:rPr>
                <w:rFonts w:ascii="Calibri" w:eastAsia="Calibri" w:hAnsi="Calibri" w:cs="Calibri"/>
                <w:b/>
                <w:bCs/>
                <w:color w:val="000000"/>
                <w:sz w:val="22"/>
              </w:rPr>
            </w:pPr>
            <w:r w:rsidRPr="00193392">
              <w:rPr>
                <w:rFonts w:ascii="Calibri" w:eastAsia="Calibri" w:hAnsi="Calibri" w:cs="Calibri"/>
                <w:b/>
                <w:bCs/>
                <w:color w:val="FFFFFF"/>
                <w:szCs w:val="24"/>
              </w:rPr>
              <w:t>GPA Secretariat List of Responsibilities (April 2021)</w:t>
            </w:r>
          </w:p>
        </w:tc>
      </w:tr>
      <w:tr w:rsidR="00193392" w:rsidRPr="00193392" w14:paraId="67C857C1" w14:textId="77777777" w:rsidTr="00193392">
        <w:tc>
          <w:tcPr>
            <w:tcW w:w="5000" w:type="pct"/>
            <w:shd w:val="clear" w:color="auto" w:fill="4472C4"/>
          </w:tcPr>
          <w:p w14:paraId="3FB588A1" w14:textId="77777777" w:rsidR="00193392" w:rsidRPr="00193392" w:rsidRDefault="00193392" w:rsidP="00193392">
            <w:pPr>
              <w:spacing w:after="120" w:line="240" w:lineRule="auto"/>
              <w:contextualSpacing/>
              <w:rPr>
                <w:rFonts w:ascii="Calibri" w:eastAsia="Calibri" w:hAnsi="Calibri" w:cs="Calibri"/>
                <w:color w:val="FFFFFF"/>
                <w:sz w:val="22"/>
              </w:rPr>
            </w:pPr>
            <w:r w:rsidRPr="00193392">
              <w:rPr>
                <w:rFonts w:ascii="Calibri" w:eastAsia="Calibri" w:hAnsi="Calibri" w:cs="Calibri"/>
                <w:color w:val="FFFFFF"/>
                <w:sz w:val="22"/>
              </w:rPr>
              <w:t xml:space="preserve">The following list comprises the responsibilities undertaken by the current Secretariat. These are broadly organised into the following categories of work: </w:t>
            </w:r>
          </w:p>
          <w:p w14:paraId="324759F0"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Information management</w:t>
            </w:r>
          </w:p>
          <w:p w14:paraId="765210AB"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Support and liaison work</w:t>
            </w:r>
          </w:p>
          <w:p w14:paraId="45567113"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Communications/publicity campaigns</w:t>
            </w:r>
          </w:p>
          <w:p w14:paraId="203CB09C"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GPA Open Session Liaison with the Host Authority</w:t>
            </w:r>
          </w:p>
          <w:p w14:paraId="535007D1"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GPA Closed Session</w:t>
            </w:r>
          </w:p>
          <w:p w14:paraId="4048D124"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GPA Global Privacy and Data Protection Awards</w:t>
            </w:r>
          </w:p>
          <w:p w14:paraId="448C215A" w14:textId="77777777" w:rsidR="00193392" w:rsidRPr="00193392" w:rsidRDefault="00193392" w:rsidP="00193392">
            <w:pPr>
              <w:numPr>
                <w:ilvl w:val="0"/>
                <w:numId w:val="9"/>
              </w:numPr>
              <w:spacing w:after="0" w:line="240" w:lineRule="auto"/>
              <w:contextualSpacing/>
              <w:rPr>
                <w:rFonts w:ascii="Calibri" w:eastAsia="Calibri" w:hAnsi="Calibri" w:cs="Calibri"/>
                <w:color w:val="FFFFFF"/>
                <w:sz w:val="22"/>
              </w:rPr>
            </w:pPr>
            <w:r w:rsidRPr="00193392">
              <w:rPr>
                <w:rFonts w:ascii="Calibri" w:eastAsia="Calibri" w:hAnsi="Calibri" w:cs="Calibri"/>
                <w:color w:val="FFFFFF"/>
                <w:sz w:val="22"/>
              </w:rPr>
              <w:t>Other potential roles</w:t>
            </w:r>
          </w:p>
          <w:p w14:paraId="4EE85A47" w14:textId="77777777" w:rsidR="00193392" w:rsidRPr="00193392" w:rsidRDefault="00193392" w:rsidP="00193392">
            <w:pPr>
              <w:spacing w:after="0" w:line="240" w:lineRule="auto"/>
              <w:ind w:left="720"/>
              <w:contextualSpacing/>
              <w:rPr>
                <w:rFonts w:ascii="Calibri" w:eastAsia="Calibri" w:hAnsi="Calibri" w:cs="Calibri"/>
                <w:color w:val="FFFFFF"/>
                <w:sz w:val="22"/>
              </w:rPr>
            </w:pPr>
          </w:p>
          <w:p w14:paraId="42DC34CD" w14:textId="77777777" w:rsidR="00193392" w:rsidRPr="00193392" w:rsidRDefault="00193392" w:rsidP="00193392">
            <w:pPr>
              <w:spacing w:after="120" w:line="240" w:lineRule="auto"/>
              <w:contextualSpacing/>
              <w:rPr>
                <w:rFonts w:ascii="Calibri" w:eastAsia="Calibri" w:hAnsi="Calibri" w:cs="Calibri"/>
                <w:color w:val="FFFFFF"/>
                <w:sz w:val="22"/>
              </w:rPr>
            </w:pPr>
            <w:r w:rsidRPr="00193392">
              <w:rPr>
                <w:rFonts w:ascii="Calibri" w:eastAsia="Calibri" w:hAnsi="Calibri" w:cs="Calibri"/>
                <w:color w:val="FFFFFF"/>
                <w:sz w:val="22"/>
              </w:rPr>
              <w:t>Please note that the Secretariat role can be</w:t>
            </w:r>
            <w:r w:rsidRPr="00193392">
              <w:rPr>
                <w:rFonts w:ascii="Calibri" w:eastAsia="Calibri" w:hAnsi="Calibri" w:cs="Calibri"/>
                <w:b/>
                <w:bCs/>
                <w:color w:val="FFFFFF"/>
                <w:sz w:val="22"/>
              </w:rPr>
              <w:t xml:space="preserve"> scaled to need/available resource</w:t>
            </w:r>
            <w:r w:rsidRPr="00193392">
              <w:rPr>
                <w:rFonts w:ascii="Calibri" w:eastAsia="Calibri" w:hAnsi="Calibri" w:cs="Calibri"/>
                <w:color w:val="FFFFFF"/>
                <w:sz w:val="22"/>
              </w:rPr>
              <w:t xml:space="preserve"> as appropriate according to the Chair’s agreement with the Executive Committee. </w:t>
            </w:r>
          </w:p>
          <w:p w14:paraId="14E2829A" w14:textId="77777777" w:rsidR="00193392" w:rsidRPr="00193392" w:rsidRDefault="00193392" w:rsidP="00193392">
            <w:pPr>
              <w:spacing w:after="120" w:line="240" w:lineRule="auto"/>
              <w:contextualSpacing/>
              <w:rPr>
                <w:rFonts w:ascii="Calibri" w:eastAsia="Calibri" w:hAnsi="Calibri" w:cs="Calibri"/>
                <w:color w:val="FFFFFF"/>
                <w:sz w:val="22"/>
              </w:rPr>
            </w:pPr>
            <w:r w:rsidRPr="00193392">
              <w:rPr>
                <w:rFonts w:ascii="Calibri" w:eastAsia="Calibri" w:hAnsi="Calibri" w:cs="Calibri"/>
                <w:color w:val="FFFFFF"/>
                <w:sz w:val="22"/>
              </w:rPr>
              <w:t xml:space="preserve">The GPA Rules and Procedures formally provide for a very basic Secretariat function that has been scaled up in practice in recent years. This has enabled the GPA to deliver its ambitious agenda to achieve the Conference’s strategic priorities, which include to maximise the Conference's voice and influence. </w:t>
            </w:r>
          </w:p>
          <w:p w14:paraId="50B91786" w14:textId="77777777" w:rsidR="00193392" w:rsidRPr="00193392" w:rsidRDefault="00193392" w:rsidP="00193392">
            <w:pPr>
              <w:spacing w:after="120" w:line="240" w:lineRule="auto"/>
              <w:contextualSpacing/>
              <w:rPr>
                <w:rFonts w:ascii="Calibri" w:eastAsia="Calibri" w:hAnsi="Calibri" w:cs="Calibri"/>
                <w:color w:val="FFFFFF"/>
                <w:sz w:val="22"/>
              </w:rPr>
            </w:pPr>
            <w:r w:rsidRPr="00193392">
              <w:rPr>
                <w:rFonts w:ascii="Calibri" w:eastAsia="Calibri" w:hAnsi="Calibri" w:cs="Calibri"/>
                <w:color w:val="FFFFFF"/>
                <w:sz w:val="22"/>
              </w:rPr>
              <w:t xml:space="preserve">If you have any queries, please contact: </w:t>
            </w:r>
            <w:hyperlink r:id="rId9" w:history="1">
              <w:r w:rsidRPr="00193392">
                <w:rPr>
                  <w:rFonts w:ascii="Calibri" w:eastAsia="Calibri" w:hAnsi="Calibri" w:cs="Calibri"/>
                  <w:color w:val="FFFFFF"/>
                  <w:sz w:val="22"/>
                  <w:u w:val="single"/>
                </w:rPr>
                <w:t>secretariat@globalprivacyassembly.org</w:t>
              </w:r>
            </w:hyperlink>
            <w:r w:rsidRPr="00193392">
              <w:rPr>
                <w:rFonts w:ascii="Calibri" w:eastAsia="Calibri" w:hAnsi="Calibri" w:cs="Calibri"/>
                <w:color w:val="FFFFFF"/>
                <w:sz w:val="22"/>
              </w:rPr>
              <w:t xml:space="preserve"> </w:t>
            </w:r>
          </w:p>
        </w:tc>
      </w:tr>
    </w:tbl>
    <w:p w14:paraId="7BDB0E86" w14:textId="77777777" w:rsidR="00193392" w:rsidRPr="00193392" w:rsidRDefault="00193392" w:rsidP="00193392">
      <w:pPr>
        <w:spacing w:after="120" w:line="240" w:lineRule="auto"/>
        <w:contextualSpacing/>
        <w:rPr>
          <w:rFonts w:ascii="Calibri" w:eastAsia="Calibri" w:hAnsi="Calibri"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467"/>
      </w:tblGrid>
      <w:tr w:rsidR="00193392" w:rsidRPr="00193392" w14:paraId="0117191A" w14:textId="77777777" w:rsidTr="00193392">
        <w:tc>
          <w:tcPr>
            <w:tcW w:w="1334" w:type="pct"/>
            <w:shd w:val="clear" w:color="auto" w:fill="FFC000"/>
          </w:tcPr>
          <w:p w14:paraId="1DC919BA" w14:textId="77777777" w:rsidR="00193392" w:rsidRPr="00193392" w:rsidRDefault="00193392" w:rsidP="00193392">
            <w:pPr>
              <w:spacing w:after="120" w:line="240" w:lineRule="auto"/>
              <w:contextualSpacing/>
              <w:rPr>
                <w:rFonts w:ascii="Calibri" w:eastAsia="Calibri" w:hAnsi="Calibri" w:cs="Calibri"/>
                <w:b/>
                <w:bCs/>
                <w:color w:val="000000"/>
                <w:sz w:val="22"/>
              </w:rPr>
            </w:pPr>
            <w:r w:rsidRPr="00193392">
              <w:rPr>
                <w:rFonts w:ascii="Calibri" w:eastAsia="Calibri" w:hAnsi="Calibri" w:cs="Calibri"/>
                <w:b/>
                <w:bCs/>
                <w:color w:val="000000"/>
                <w:sz w:val="22"/>
              </w:rPr>
              <w:t>Task</w:t>
            </w:r>
          </w:p>
        </w:tc>
        <w:tc>
          <w:tcPr>
            <w:tcW w:w="3666" w:type="pct"/>
            <w:shd w:val="clear" w:color="auto" w:fill="FFC000"/>
          </w:tcPr>
          <w:p w14:paraId="46ECAF8A" w14:textId="77777777" w:rsidR="00193392" w:rsidRPr="00193392" w:rsidRDefault="00193392" w:rsidP="00193392">
            <w:pPr>
              <w:spacing w:after="120" w:line="240" w:lineRule="auto"/>
              <w:contextualSpacing/>
              <w:rPr>
                <w:rFonts w:ascii="Calibri" w:eastAsia="Calibri" w:hAnsi="Calibri" w:cs="Calibri"/>
                <w:b/>
                <w:bCs/>
                <w:color w:val="000000"/>
                <w:sz w:val="22"/>
              </w:rPr>
            </w:pPr>
            <w:r w:rsidRPr="00193392">
              <w:rPr>
                <w:rFonts w:ascii="Calibri" w:eastAsia="Calibri" w:hAnsi="Calibri" w:cs="Calibri"/>
                <w:b/>
                <w:bCs/>
                <w:color w:val="000000"/>
                <w:sz w:val="22"/>
              </w:rPr>
              <w:t>Detailed Description</w:t>
            </w:r>
          </w:p>
        </w:tc>
      </w:tr>
      <w:tr w:rsidR="00193392" w:rsidRPr="00193392" w14:paraId="7B4E0E7B" w14:textId="77777777" w:rsidTr="00193392">
        <w:tc>
          <w:tcPr>
            <w:tcW w:w="1334" w:type="pct"/>
            <w:shd w:val="clear" w:color="auto" w:fill="auto"/>
          </w:tcPr>
          <w:p w14:paraId="6E2AB75C" w14:textId="77777777" w:rsidR="00193392" w:rsidRPr="00193392" w:rsidRDefault="00193392" w:rsidP="00193392">
            <w:pPr>
              <w:spacing w:after="120" w:line="240" w:lineRule="auto"/>
              <w:contextualSpacing/>
              <w:rPr>
                <w:rFonts w:ascii="Calibri" w:eastAsia="Calibri" w:hAnsi="Calibri" w:cs="Calibri"/>
                <w:b/>
                <w:bCs/>
                <w:color w:val="000000"/>
                <w:sz w:val="22"/>
              </w:rPr>
            </w:pPr>
            <w:r w:rsidRPr="00193392">
              <w:rPr>
                <w:rFonts w:ascii="Calibri" w:eastAsia="Calibri" w:hAnsi="Calibri" w:cs="Calibri"/>
                <w:b/>
                <w:bCs/>
                <w:color w:val="000000"/>
                <w:sz w:val="22"/>
              </w:rPr>
              <w:t>Information Management</w:t>
            </w:r>
          </w:p>
        </w:tc>
        <w:tc>
          <w:tcPr>
            <w:tcW w:w="3666" w:type="pct"/>
            <w:shd w:val="clear" w:color="auto" w:fill="auto"/>
          </w:tcPr>
          <w:p w14:paraId="77C9381C"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The Secretariat is tasked with the management and preservation of the documents and files of the Assembly. At present, this comprises the files and records from all secretariat work to support the Assembly and its Executive Committee in the current host’s information management system. The role also includes oversight of the GPA Website, which contains present and historical reference documents.</w:t>
            </w:r>
          </w:p>
          <w:p w14:paraId="7D7A80EE"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Adopted Resolutions </w:t>
            </w:r>
          </w:p>
          <w:p w14:paraId="5FB126EA"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Declarations and Communiques </w:t>
            </w:r>
          </w:p>
          <w:p w14:paraId="2A2ED3F9"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Working Group Reports</w:t>
            </w:r>
          </w:p>
          <w:p w14:paraId="6186BFB0"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Rules and Procedures </w:t>
            </w:r>
          </w:p>
          <w:p w14:paraId="0974A0AD"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Accreditation </w:t>
            </w:r>
          </w:p>
          <w:p w14:paraId="5A44C93D"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Executive Committee documents </w:t>
            </w:r>
          </w:p>
          <w:p w14:paraId="1BE91270"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Representation at Meetings of International Organisations</w:t>
            </w:r>
          </w:p>
          <w:p w14:paraId="57750E08"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Closed Session Minutes and Correspondence </w:t>
            </w:r>
          </w:p>
          <w:p w14:paraId="40A81D5A"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Misc. (includes conference closed session agendas, papers etc.)</w:t>
            </w:r>
          </w:p>
          <w:p w14:paraId="0C7AD460" w14:textId="77777777" w:rsidR="00193392" w:rsidRPr="00193392" w:rsidRDefault="00193392" w:rsidP="00193392">
            <w:pPr>
              <w:numPr>
                <w:ilvl w:val="1"/>
                <w:numId w:val="6"/>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GPA Annual Report</w:t>
            </w:r>
          </w:p>
          <w:p w14:paraId="5F320FB6"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lastRenderedPageBreak/>
              <w:t xml:space="preserve">The Secretariat is required (rule 4.5) to maintain a record of any domestic or regional actions taken </w:t>
            </w:r>
            <w:proofErr w:type="gramStart"/>
            <w:r w:rsidRPr="00193392">
              <w:rPr>
                <w:rFonts w:ascii="Calibri" w:eastAsia="Calibri" w:hAnsi="Calibri" w:cs="Calibri"/>
                <w:sz w:val="22"/>
              </w:rPr>
              <w:t>as a result of</w:t>
            </w:r>
            <w:proofErr w:type="gramEnd"/>
            <w:r w:rsidRPr="00193392">
              <w:rPr>
                <w:rFonts w:ascii="Calibri" w:eastAsia="Calibri" w:hAnsi="Calibri" w:cs="Calibri"/>
                <w:sz w:val="22"/>
              </w:rPr>
              <w:t xml:space="preserve"> or in reference to the adoption of an Assembly resolution or declaration. </w:t>
            </w:r>
          </w:p>
          <w:p w14:paraId="1E9192BC"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In consultation with the Chair and the Executive Committee the Secretariat updates the GPA Rules and Procedures to ensure they meet the Assembly’s and Committee’s needs.</w:t>
            </w:r>
          </w:p>
          <w:p w14:paraId="51B6F310"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The Secretariat ensures the overview of the GPA Executive Committee elections records and gathers notices from the Executive Committee members in line with Rule 3.1 of the Conference Rules and Procedures.</w:t>
            </w:r>
          </w:p>
          <w:p w14:paraId="72979290"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Regular review of the GPA membership email contact list and the members online details.</w:t>
            </w:r>
          </w:p>
          <w:p w14:paraId="3BDE91C7"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Responsibility for the Data Protection Impact Assessment for the website and GPA activities in line with our legal obligations under the GDPR law (GPA as a service targeting individuals in the EU), and managing any risks associated with GPA activities.</w:t>
            </w:r>
          </w:p>
          <w:p w14:paraId="648B55AF"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Review and update of the GPA Website Privacy Policy, where appropriate.</w:t>
            </w:r>
          </w:p>
          <w:p w14:paraId="506304F9"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Servicing and checking the application forms for the Global Cross Border Enforcement Cooperation Arrangement, updating the participants list on the website.</w:t>
            </w:r>
          </w:p>
          <w:p w14:paraId="01C29B9A" w14:textId="77777777" w:rsidR="00193392" w:rsidRPr="00193392" w:rsidRDefault="00193392" w:rsidP="00193392">
            <w:pPr>
              <w:numPr>
                <w:ilvl w:val="0"/>
                <w:numId w:val="6"/>
              </w:numPr>
              <w:spacing w:after="0" w:line="240" w:lineRule="auto"/>
              <w:contextualSpacing/>
              <w:jc w:val="both"/>
              <w:rPr>
                <w:rFonts w:ascii="Calibri" w:eastAsia="Calibri" w:hAnsi="Calibri" w:cs="Calibri"/>
                <w:sz w:val="22"/>
              </w:rPr>
            </w:pPr>
            <w:r w:rsidRPr="00193392">
              <w:rPr>
                <w:rFonts w:ascii="Calibri" w:eastAsia="Calibri" w:hAnsi="Calibri" w:cs="Calibri"/>
                <w:sz w:val="22"/>
              </w:rPr>
              <w:t>To update the Secretariat Reference Guide and Website Reference Guide as appropriate to transfer know-how to future Secretariats.</w:t>
            </w:r>
          </w:p>
          <w:p w14:paraId="21D81FF0" w14:textId="77777777" w:rsidR="00193392" w:rsidRPr="00193392" w:rsidRDefault="00193392" w:rsidP="00193392">
            <w:pPr>
              <w:spacing w:after="120" w:line="240" w:lineRule="auto"/>
              <w:contextualSpacing/>
              <w:jc w:val="both"/>
              <w:rPr>
                <w:rFonts w:ascii="Calibri" w:eastAsia="Calibri" w:hAnsi="Calibri" w:cs="Calibri"/>
                <w:color w:val="000000"/>
                <w:sz w:val="22"/>
              </w:rPr>
            </w:pPr>
          </w:p>
        </w:tc>
      </w:tr>
      <w:tr w:rsidR="00193392" w:rsidRPr="00193392" w14:paraId="7F4DB761" w14:textId="77777777" w:rsidTr="00193392">
        <w:tc>
          <w:tcPr>
            <w:tcW w:w="1334" w:type="pct"/>
            <w:shd w:val="clear" w:color="auto" w:fill="auto"/>
          </w:tcPr>
          <w:p w14:paraId="7C8E82C9" w14:textId="77777777" w:rsidR="00193392" w:rsidRPr="00193392" w:rsidRDefault="00193392" w:rsidP="00193392">
            <w:pPr>
              <w:spacing w:after="120" w:line="240" w:lineRule="auto"/>
              <w:contextualSpacing/>
              <w:rPr>
                <w:rFonts w:ascii="Calibri" w:eastAsia="Calibri" w:hAnsi="Calibri" w:cs="Calibri"/>
                <w:color w:val="000000"/>
                <w:sz w:val="22"/>
              </w:rPr>
            </w:pPr>
            <w:r w:rsidRPr="00193392">
              <w:rPr>
                <w:rFonts w:ascii="Calibri" w:eastAsia="Calibri" w:hAnsi="Calibri" w:cs="Calibri"/>
                <w:b/>
                <w:bCs/>
                <w:color w:val="000000"/>
                <w:sz w:val="22"/>
              </w:rPr>
              <w:lastRenderedPageBreak/>
              <w:t>Support and Liaison Work</w:t>
            </w:r>
          </w:p>
        </w:tc>
        <w:tc>
          <w:tcPr>
            <w:tcW w:w="3666" w:type="pct"/>
            <w:shd w:val="clear" w:color="auto" w:fill="auto"/>
          </w:tcPr>
          <w:p w14:paraId="023C4DD6"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 xml:space="preserve">The Secretariat currently acts as the principal intermediary between the Chair, the Executive </w:t>
            </w:r>
            <w:proofErr w:type="gramStart"/>
            <w:r w:rsidRPr="00193392">
              <w:rPr>
                <w:rFonts w:ascii="Calibri" w:eastAsia="Calibri" w:hAnsi="Calibri" w:cs="Calibri"/>
                <w:sz w:val="22"/>
              </w:rPr>
              <w:t>Committee</w:t>
            </w:r>
            <w:proofErr w:type="gramEnd"/>
            <w:r w:rsidRPr="00193392">
              <w:rPr>
                <w:rFonts w:ascii="Calibri" w:eastAsia="Calibri" w:hAnsi="Calibri" w:cs="Calibri"/>
                <w:sz w:val="22"/>
              </w:rPr>
              <w:t xml:space="preserve"> and the GPA membership, although this is not stipulated in the Rules and Procedures.</w:t>
            </w:r>
          </w:p>
          <w:p w14:paraId="5E82C51C"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The Secretariat is responsible for monitoring and responding to queries received into the GPA Microsoft 365 mailbox.</w:t>
            </w:r>
          </w:p>
          <w:p w14:paraId="59D0B01E"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The Secretariat supports the Chair and Executive Committee with their Executive Committee meetings, which are required to take place at least twice annually, but currently take place on approximately a two-monthly cycle:</w:t>
            </w:r>
          </w:p>
          <w:p w14:paraId="360163CA"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Scheduling and managing the meetings</w:t>
            </w:r>
          </w:p>
          <w:p w14:paraId="6E5DFDA5"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Setting agendas</w:t>
            </w:r>
          </w:p>
          <w:p w14:paraId="26D884CD"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proofErr w:type="gramStart"/>
            <w:r w:rsidRPr="00193392">
              <w:rPr>
                <w:rFonts w:ascii="Calibri" w:eastAsia="Calibri" w:hAnsi="Calibri" w:cs="Calibri"/>
                <w:sz w:val="22"/>
              </w:rPr>
              <w:t>Taking Minutes/Action</w:t>
            </w:r>
            <w:proofErr w:type="gramEnd"/>
            <w:r w:rsidRPr="00193392">
              <w:rPr>
                <w:rFonts w:ascii="Calibri" w:eastAsia="Calibri" w:hAnsi="Calibri" w:cs="Calibri"/>
                <w:sz w:val="22"/>
              </w:rPr>
              <w:t xml:space="preserve"> Points</w:t>
            </w:r>
          </w:p>
          <w:p w14:paraId="5B6B68A4"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Supporting projects</w:t>
            </w:r>
          </w:p>
          <w:p w14:paraId="429A2FF3"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Preparation and circulation of meeting papers including any GPA Executive Committee Joint Statements</w:t>
            </w:r>
          </w:p>
          <w:p w14:paraId="302E44FC"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Meeting logistics</w:t>
            </w:r>
          </w:p>
          <w:p w14:paraId="7A194ADD" w14:textId="77777777" w:rsidR="00193392" w:rsidRPr="00193392" w:rsidRDefault="00193392" w:rsidP="00193392">
            <w:pPr>
              <w:numPr>
                <w:ilvl w:val="1"/>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Associated communications </w:t>
            </w:r>
          </w:p>
          <w:p w14:paraId="3759FFE4"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Drafting, consulting on and promoting the Conference Strategic Plan and provide any required policy advice to the Committee for the plan.</w:t>
            </w:r>
          </w:p>
          <w:p w14:paraId="12BA8E32" w14:textId="77DCCDF1"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The Secretariat supports the Executive Committee, the Working Groups and GPA membership in the production and distribution of GPA</w:t>
            </w:r>
            <w:r w:rsidR="001B55D3">
              <w:rPr>
                <w:rFonts w:ascii="Calibri" w:eastAsia="Calibri" w:hAnsi="Calibri" w:cs="Calibri"/>
                <w:sz w:val="22"/>
              </w:rPr>
              <w:t xml:space="preserve"> </w:t>
            </w:r>
            <w:r w:rsidRPr="00193392">
              <w:rPr>
                <w:rFonts w:ascii="Calibri" w:eastAsia="Calibri" w:hAnsi="Calibri" w:cs="Calibri"/>
                <w:sz w:val="22"/>
              </w:rPr>
              <w:t xml:space="preserve">documents working group reports, resolutions/declarations/joint </w:t>
            </w:r>
            <w:proofErr w:type="gramStart"/>
            <w:r w:rsidRPr="00193392">
              <w:rPr>
                <w:rFonts w:ascii="Calibri" w:eastAsia="Calibri" w:hAnsi="Calibri" w:cs="Calibri"/>
                <w:sz w:val="22"/>
              </w:rPr>
              <w:t>statements</w:t>
            </w:r>
            <w:proofErr w:type="gramEnd"/>
            <w:r w:rsidRPr="00193392">
              <w:rPr>
                <w:rFonts w:ascii="Calibri" w:eastAsia="Calibri" w:hAnsi="Calibri" w:cs="Calibri"/>
                <w:sz w:val="22"/>
              </w:rPr>
              <w:t xml:space="preserve"> and related promotional materials. </w:t>
            </w:r>
          </w:p>
          <w:p w14:paraId="19EDC8C4"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lastRenderedPageBreak/>
              <w:t xml:space="preserve">The Secretariat supports the Future of the Conference Working Group (with another Co-chair authority alongside the GPA Chair where agreed) to drive forward the Conference’s work. </w:t>
            </w:r>
          </w:p>
          <w:p w14:paraId="523BCE4F"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 xml:space="preserve">The Secretariat coordinates the work to produce the GPA Census every three years, liaising with any external contractors (if hired), or international organisations or other stakeholders which are interested in using the Census results. </w:t>
            </w:r>
          </w:p>
          <w:p w14:paraId="5B669500"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The Secretariat supports the Executive Committee’s Accreditation Sub-Committee and the accreditation process for new members and observers.</w:t>
            </w:r>
          </w:p>
          <w:p w14:paraId="096EF4D9"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 xml:space="preserve">The Secretariat supports the Executive Committee’s Host Bid Assessments Sub-Committee. </w:t>
            </w:r>
          </w:p>
          <w:p w14:paraId="00B3E621"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 xml:space="preserve">The Secretariat acts as a liaison point for the Volunteer Translation Network and ensures information is appropriately translated into French and Spanish to ensure inclusivity and respect the conference’s diversity. </w:t>
            </w:r>
          </w:p>
          <w:p w14:paraId="1090236F"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Following the 41</w:t>
            </w:r>
            <w:r w:rsidRPr="00193392">
              <w:rPr>
                <w:rFonts w:ascii="Calibri" w:eastAsia="Calibri" w:hAnsi="Calibri" w:cs="Calibri"/>
                <w:sz w:val="22"/>
                <w:vertAlign w:val="superscript"/>
              </w:rPr>
              <w:t>st</w:t>
            </w:r>
            <w:r w:rsidRPr="00193392">
              <w:rPr>
                <w:rFonts w:ascii="Calibri" w:eastAsia="Calibri" w:hAnsi="Calibri" w:cs="Calibri"/>
                <w:sz w:val="22"/>
              </w:rPr>
              <w:t xml:space="preserve"> GPA Annual Meeting, the Secretariat took up the responsibility of coordinating the establishment of the GPA Reference Panel. The role of coordinating future work during the Panel’s two-year term will be the task of the new Reference Panel Chair but recruitment of future Reference Panel members (either within or at the end of the two-year term), whilst carried out by an Assessment Group, is expected to require Secretariat support.</w:t>
            </w:r>
          </w:p>
          <w:p w14:paraId="04AC0995"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The Secretariat coordinates the Executive Committee activity in appointing the host authority for future conferences (usually 2 years in advance of each conference e.g. in 2021, we are currently recruiting for the 2023 Host).</w:t>
            </w:r>
          </w:p>
          <w:p w14:paraId="56F85735"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 xml:space="preserve">The Secretariat supports the Host Authority with organising the annual meeting (see further details below). </w:t>
            </w:r>
          </w:p>
          <w:p w14:paraId="103665AF"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sz w:val="22"/>
              </w:rPr>
            </w:pPr>
            <w:r w:rsidRPr="00193392">
              <w:rPr>
                <w:rFonts w:ascii="Calibri" w:eastAsia="Calibri" w:hAnsi="Calibri" w:cs="Calibri"/>
                <w:sz w:val="22"/>
              </w:rPr>
              <w:t xml:space="preserve">The Secretariat supports the Executive Committee with information about developments in other regional/linguistic/other specialist DP and privacy networks that might have a bearing on GPA future direction or who might wish to contribute in some way to the annual Closed Session. This is particularly relevant for the Berlin Group (IWPDPT) that has a special relationship with the GPA and usually reports to the Closed Session. </w:t>
            </w:r>
          </w:p>
          <w:p w14:paraId="11E7A911" w14:textId="77777777" w:rsidR="00193392" w:rsidRPr="00193392" w:rsidRDefault="00193392" w:rsidP="00193392">
            <w:pPr>
              <w:spacing w:after="200" w:line="240" w:lineRule="auto"/>
              <w:ind w:left="357"/>
              <w:contextualSpacing/>
              <w:jc w:val="both"/>
              <w:rPr>
                <w:rFonts w:ascii="Calibri" w:eastAsia="Calibri" w:hAnsi="Calibri" w:cs="Calibri"/>
                <w:sz w:val="22"/>
              </w:rPr>
            </w:pPr>
          </w:p>
        </w:tc>
      </w:tr>
      <w:tr w:rsidR="00193392" w:rsidRPr="00193392" w14:paraId="07D9904A" w14:textId="77777777" w:rsidTr="00193392">
        <w:tc>
          <w:tcPr>
            <w:tcW w:w="1334" w:type="pct"/>
            <w:shd w:val="clear" w:color="auto" w:fill="auto"/>
          </w:tcPr>
          <w:p w14:paraId="63810C02" w14:textId="77777777" w:rsidR="00193392" w:rsidRPr="00193392" w:rsidRDefault="00193392" w:rsidP="00193392">
            <w:pPr>
              <w:spacing w:after="120" w:line="276" w:lineRule="auto"/>
              <w:contextualSpacing/>
              <w:jc w:val="both"/>
              <w:rPr>
                <w:rFonts w:ascii="Calibri" w:eastAsia="Calibri" w:hAnsi="Calibri" w:cs="Calibri"/>
                <w:color w:val="000000"/>
                <w:sz w:val="22"/>
              </w:rPr>
            </w:pPr>
            <w:r w:rsidRPr="00193392">
              <w:rPr>
                <w:rFonts w:ascii="Calibri" w:eastAsia="Calibri" w:hAnsi="Calibri" w:cs="Calibri"/>
                <w:b/>
                <w:bCs/>
                <w:color w:val="000000"/>
                <w:sz w:val="22"/>
              </w:rPr>
              <w:lastRenderedPageBreak/>
              <w:t>Communication/Publicity campaigns</w:t>
            </w:r>
          </w:p>
          <w:p w14:paraId="68B687A9" w14:textId="77777777" w:rsidR="00193392" w:rsidRPr="00193392" w:rsidRDefault="00193392" w:rsidP="00193392">
            <w:pPr>
              <w:spacing w:after="120" w:line="240" w:lineRule="auto"/>
              <w:contextualSpacing/>
              <w:rPr>
                <w:rFonts w:ascii="Calibri" w:eastAsia="Calibri" w:hAnsi="Calibri" w:cs="Calibri"/>
                <w:color w:val="000000"/>
                <w:sz w:val="22"/>
              </w:rPr>
            </w:pPr>
          </w:p>
        </w:tc>
        <w:tc>
          <w:tcPr>
            <w:tcW w:w="3666" w:type="pct"/>
            <w:shd w:val="clear" w:color="auto" w:fill="auto"/>
          </w:tcPr>
          <w:p w14:paraId="3D7F3D8E" w14:textId="77777777" w:rsidR="00193392" w:rsidRPr="00193392" w:rsidRDefault="00193392" w:rsidP="00193392">
            <w:pPr>
              <w:numPr>
                <w:ilvl w:val="0"/>
                <w:numId w:val="10"/>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The Secretariat, on behalf of the Executive Committee, ensures that GPA activities are promoted via the GPA’s main channels of communication: </w:t>
            </w:r>
          </w:p>
          <w:p w14:paraId="55693E49" w14:textId="77777777" w:rsidR="00193392" w:rsidRPr="00193392" w:rsidRDefault="00193392" w:rsidP="00193392">
            <w:pPr>
              <w:numPr>
                <w:ilvl w:val="2"/>
                <w:numId w:val="11"/>
              </w:numPr>
              <w:spacing w:after="0" w:line="240" w:lineRule="auto"/>
              <w:contextualSpacing/>
              <w:jc w:val="both"/>
              <w:rPr>
                <w:rFonts w:ascii="Calibri" w:eastAsia="Calibri" w:hAnsi="Calibri" w:cs="Calibri"/>
                <w:sz w:val="22"/>
              </w:rPr>
            </w:pPr>
            <w:r w:rsidRPr="00193392">
              <w:rPr>
                <w:rFonts w:ascii="Calibri" w:eastAsia="Calibri" w:hAnsi="Calibri" w:cs="Calibri"/>
                <w:sz w:val="22"/>
              </w:rPr>
              <w:t>GPA Website</w:t>
            </w:r>
          </w:p>
          <w:p w14:paraId="41875E38" w14:textId="77777777" w:rsidR="00193392" w:rsidRPr="00193392" w:rsidRDefault="00193392" w:rsidP="00193392">
            <w:pPr>
              <w:numPr>
                <w:ilvl w:val="2"/>
                <w:numId w:val="11"/>
              </w:numPr>
              <w:spacing w:after="0" w:line="240" w:lineRule="auto"/>
              <w:contextualSpacing/>
              <w:jc w:val="both"/>
              <w:rPr>
                <w:rFonts w:ascii="Calibri" w:eastAsia="Calibri" w:hAnsi="Calibri" w:cs="Calibri"/>
                <w:sz w:val="22"/>
              </w:rPr>
            </w:pPr>
            <w:r w:rsidRPr="00193392">
              <w:rPr>
                <w:rFonts w:ascii="Calibri" w:eastAsia="Calibri" w:hAnsi="Calibri" w:cs="Calibri"/>
                <w:sz w:val="22"/>
              </w:rPr>
              <w:t>GPA Newsletter</w:t>
            </w:r>
          </w:p>
          <w:p w14:paraId="0136732C" w14:textId="77777777" w:rsidR="00193392" w:rsidRPr="00193392" w:rsidRDefault="00193392" w:rsidP="00193392">
            <w:pPr>
              <w:numPr>
                <w:ilvl w:val="2"/>
                <w:numId w:val="11"/>
              </w:numPr>
              <w:spacing w:after="0" w:line="240" w:lineRule="auto"/>
              <w:contextualSpacing/>
              <w:jc w:val="both"/>
              <w:rPr>
                <w:rFonts w:ascii="Calibri" w:eastAsia="Calibri" w:hAnsi="Calibri" w:cs="Calibri"/>
                <w:sz w:val="22"/>
              </w:rPr>
            </w:pPr>
            <w:r w:rsidRPr="00193392">
              <w:rPr>
                <w:rFonts w:ascii="Calibri" w:eastAsia="Calibri" w:hAnsi="Calibri" w:cs="Calibri"/>
                <w:sz w:val="22"/>
              </w:rPr>
              <w:t>Twitter/Social media accounts</w:t>
            </w:r>
          </w:p>
          <w:p w14:paraId="20ED16E2" w14:textId="77777777" w:rsidR="00193392" w:rsidRPr="00193392" w:rsidRDefault="00193392" w:rsidP="00193392">
            <w:pPr>
              <w:numPr>
                <w:ilvl w:val="0"/>
                <w:numId w:val="5"/>
              </w:numPr>
              <w:spacing w:after="0" w:line="240" w:lineRule="auto"/>
              <w:ind w:left="357" w:hanging="357"/>
              <w:contextualSpacing/>
              <w:jc w:val="both"/>
              <w:rPr>
                <w:rFonts w:ascii="Calibri" w:eastAsia="Calibri" w:hAnsi="Calibri" w:cs="Calibri"/>
                <w:bCs/>
                <w:color w:val="000000"/>
                <w:sz w:val="22"/>
              </w:rPr>
            </w:pPr>
            <w:r w:rsidRPr="00193392">
              <w:rPr>
                <w:rFonts w:ascii="Calibri" w:eastAsia="Calibri" w:hAnsi="Calibri" w:cs="Calibri"/>
                <w:sz w:val="22"/>
              </w:rPr>
              <w:t xml:space="preserve">The Secretariat is responsible for the technical maintenance and use of the following: the GPA Microsoft 365 account, Free Parking (webhosting), </w:t>
            </w:r>
            <w:proofErr w:type="spellStart"/>
            <w:r w:rsidRPr="00193392">
              <w:rPr>
                <w:rFonts w:ascii="Calibri" w:eastAsia="Calibri" w:hAnsi="Calibri" w:cs="Calibri"/>
                <w:sz w:val="22"/>
              </w:rPr>
              <w:t>Piwiki</w:t>
            </w:r>
            <w:proofErr w:type="spellEnd"/>
            <w:r w:rsidRPr="00193392">
              <w:rPr>
                <w:rFonts w:ascii="Calibri" w:eastAsia="Calibri" w:hAnsi="Calibri" w:cs="Calibri"/>
                <w:sz w:val="22"/>
              </w:rPr>
              <w:t xml:space="preserve"> (web analytics), </w:t>
            </w:r>
            <w:proofErr w:type="spellStart"/>
            <w:r w:rsidRPr="00193392">
              <w:rPr>
                <w:rFonts w:ascii="Calibri" w:eastAsia="Calibri" w:hAnsi="Calibri" w:cs="Calibri"/>
                <w:sz w:val="22"/>
              </w:rPr>
              <w:t>Sucuri</w:t>
            </w:r>
            <w:proofErr w:type="spellEnd"/>
            <w:r w:rsidRPr="00193392">
              <w:rPr>
                <w:rFonts w:ascii="Calibri" w:eastAsia="Calibri" w:hAnsi="Calibri" w:cs="Calibri"/>
                <w:sz w:val="22"/>
              </w:rPr>
              <w:t xml:space="preserve"> (web application firewall),</w:t>
            </w:r>
            <w:r w:rsidRPr="00193392">
              <w:rPr>
                <w:rFonts w:ascii="Calibri" w:eastAsia="Calibri" w:hAnsi="Calibri" w:cs="Calibri"/>
                <w:bCs/>
                <w:color w:val="000000"/>
                <w:sz w:val="22"/>
              </w:rPr>
              <w:t xml:space="preserve"> Twitter (social media), </w:t>
            </w:r>
            <w:proofErr w:type="spellStart"/>
            <w:r w:rsidRPr="00193392">
              <w:rPr>
                <w:rFonts w:ascii="Calibri" w:eastAsia="Calibri" w:hAnsi="Calibri" w:cs="Calibri"/>
                <w:bCs/>
                <w:color w:val="000000"/>
                <w:sz w:val="22"/>
              </w:rPr>
              <w:t>Youtube</w:t>
            </w:r>
            <w:proofErr w:type="spellEnd"/>
            <w:r w:rsidRPr="00193392">
              <w:rPr>
                <w:rFonts w:ascii="Calibri" w:eastAsia="Calibri" w:hAnsi="Calibri" w:cs="Calibri"/>
                <w:bCs/>
                <w:color w:val="000000"/>
                <w:sz w:val="22"/>
              </w:rPr>
              <w:t xml:space="preserve"> (social media) and </w:t>
            </w:r>
            <w:proofErr w:type="spellStart"/>
            <w:r w:rsidRPr="00193392">
              <w:rPr>
                <w:rFonts w:ascii="Calibri" w:eastAsia="Calibri" w:hAnsi="Calibri" w:cs="Calibri"/>
                <w:bCs/>
                <w:color w:val="000000"/>
                <w:sz w:val="22"/>
              </w:rPr>
              <w:t>SnapSurvey</w:t>
            </w:r>
            <w:proofErr w:type="spellEnd"/>
            <w:r w:rsidRPr="00193392">
              <w:rPr>
                <w:rFonts w:ascii="Calibri" w:eastAsia="Calibri" w:hAnsi="Calibri" w:cs="Calibri"/>
                <w:bCs/>
                <w:color w:val="000000"/>
                <w:sz w:val="22"/>
              </w:rPr>
              <w:t>.</w:t>
            </w:r>
          </w:p>
          <w:p w14:paraId="4293A2E9" w14:textId="77777777" w:rsidR="00193392" w:rsidRPr="00193392" w:rsidRDefault="00193392" w:rsidP="00193392">
            <w:pPr>
              <w:numPr>
                <w:ilvl w:val="0"/>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The Secretariat is responsible for all editorial updates to the GPA website, ensuring all documents and reference materials are accurate and kept up to date. The document repository includes:</w:t>
            </w:r>
          </w:p>
          <w:p w14:paraId="34DD9C93"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lastRenderedPageBreak/>
              <w:t xml:space="preserve">Adopted Resolutions </w:t>
            </w:r>
          </w:p>
          <w:p w14:paraId="34CC7FFB"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Declarations and Communiques </w:t>
            </w:r>
          </w:p>
          <w:p w14:paraId="24568C17"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Working Group Reports</w:t>
            </w:r>
          </w:p>
          <w:p w14:paraId="274901E8"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Rules and Procedures </w:t>
            </w:r>
          </w:p>
          <w:p w14:paraId="36DAF9EC"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Accreditation </w:t>
            </w:r>
          </w:p>
          <w:p w14:paraId="09B2A802"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Executive Committee documents </w:t>
            </w:r>
          </w:p>
          <w:p w14:paraId="25E3FCF7"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Representation at Meetings of International Organisations</w:t>
            </w:r>
          </w:p>
          <w:p w14:paraId="366C57F6"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 xml:space="preserve">Closed Session Minutes and Correspondence </w:t>
            </w:r>
          </w:p>
          <w:p w14:paraId="75775619"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Misc. (includes conference closed session agendas, papers etc.)</w:t>
            </w:r>
          </w:p>
          <w:p w14:paraId="7E2F0633" w14:textId="77777777" w:rsidR="00193392" w:rsidRPr="00193392" w:rsidRDefault="00193392" w:rsidP="00193392">
            <w:pPr>
              <w:numPr>
                <w:ilvl w:val="2"/>
                <w:numId w:val="12"/>
              </w:numPr>
              <w:autoSpaceDE w:val="0"/>
              <w:autoSpaceDN w:val="0"/>
              <w:adjustRightInd w:val="0"/>
              <w:spacing w:after="0" w:line="240" w:lineRule="auto"/>
              <w:rPr>
                <w:rFonts w:ascii="Calibri" w:eastAsia="Calibri" w:hAnsi="Calibri" w:cs="Calibri"/>
                <w:color w:val="000000"/>
                <w:sz w:val="22"/>
              </w:rPr>
            </w:pPr>
            <w:r w:rsidRPr="00193392">
              <w:rPr>
                <w:rFonts w:ascii="Calibri" w:eastAsia="Calibri" w:hAnsi="Calibri" w:cs="Calibri"/>
                <w:color w:val="000000"/>
                <w:sz w:val="22"/>
              </w:rPr>
              <w:t>The GPA Annual Report</w:t>
            </w:r>
          </w:p>
          <w:p w14:paraId="6D0DBBF3" w14:textId="77777777" w:rsidR="00193392" w:rsidRPr="00193392" w:rsidRDefault="00193392" w:rsidP="00193392">
            <w:pPr>
              <w:numPr>
                <w:ilvl w:val="0"/>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The Secretariat is responsible for the publication of the GPA Newsletter and all associated editorial and production scheduling. The GPA Newsletter is published in January, </w:t>
            </w:r>
            <w:proofErr w:type="gramStart"/>
            <w:r w:rsidRPr="00193392">
              <w:rPr>
                <w:rFonts w:ascii="Calibri" w:eastAsia="Calibri" w:hAnsi="Calibri" w:cs="Calibri"/>
                <w:sz w:val="22"/>
              </w:rPr>
              <w:t>May</w:t>
            </w:r>
            <w:proofErr w:type="gramEnd"/>
            <w:r w:rsidRPr="00193392">
              <w:rPr>
                <w:rFonts w:ascii="Calibri" w:eastAsia="Calibri" w:hAnsi="Calibri" w:cs="Calibri"/>
                <w:sz w:val="22"/>
              </w:rPr>
              <w:t xml:space="preserve"> and September annually. The current Secretariat has also published a Special Edition Newsletter in November to update the membership on matters arising from the October GPA conference.</w:t>
            </w:r>
          </w:p>
          <w:p w14:paraId="42F048FF" w14:textId="77777777" w:rsidR="00193392" w:rsidRPr="00193392" w:rsidRDefault="00193392" w:rsidP="00193392">
            <w:pPr>
              <w:numPr>
                <w:ilvl w:val="0"/>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The Secretariat is responsible with the Executive Committee for the production and presentation of the GPA Annual Report, to be made available to the membership at the Closed Session and posted onto the GPA website. The Secretariat project manages production. </w:t>
            </w:r>
          </w:p>
          <w:p w14:paraId="172D31E3" w14:textId="77777777" w:rsidR="00193392" w:rsidRPr="00193392" w:rsidRDefault="00193392" w:rsidP="00193392">
            <w:pPr>
              <w:numPr>
                <w:ilvl w:val="0"/>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The Secretariat supports the GPA Working Groups in their communications with the GPA Membership via email, the GPA website, </w:t>
            </w:r>
            <w:proofErr w:type="gramStart"/>
            <w:r w:rsidRPr="00193392">
              <w:rPr>
                <w:rFonts w:ascii="Calibri" w:eastAsia="Calibri" w:hAnsi="Calibri" w:cs="Calibri"/>
                <w:sz w:val="22"/>
              </w:rPr>
              <w:t>newsletter</w:t>
            </w:r>
            <w:proofErr w:type="gramEnd"/>
            <w:r w:rsidRPr="00193392">
              <w:rPr>
                <w:rFonts w:ascii="Calibri" w:eastAsia="Calibri" w:hAnsi="Calibri" w:cs="Calibri"/>
                <w:sz w:val="22"/>
              </w:rPr>
              <w:t xml:space="preserve"> and any promotional campaigns.</w:t>
            </w:r>
          </w:p>
          <w:p w14:paraId="3BDF7D60" w14:textId="77777777" w:rsidR="00193392" w:rsidRPr="00193392" w:rsidRDefault="00193392" w:rsidP="00193392">
            <w:pPr>
              <w:numPr>
                <w:ilvl w:val="0"/>
                <w:numId w:val="5"/>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The Secretariat acts as the main point of communication between the GPA and the networks: regional networks, linguistic and cultural networks, specialised networks, miscellaneous networks. All information on the networks on the GPA website is to be kept up to date. </w:t>
            </w:r>
          </w:p>
        </w:tc>
      </w:tr>
      <w:tr w:rsidR="00193392" w:rsidRPr="00193392" w14:paraId="4ED95AE3" w14:textId="77777777" w:rsidTr="00193392">
        <w:tc>
          <w:tcPr>
            <w:tcW w:w="1334" w:type="pct"/>
            <w:shd w:val="clear" w:color="auto" w:fill="auto"/>
          </w:tcPr>
          <w:p w14:paraId="40811424" w14:textId="77777777" w:rsidR="00193392" w:rsidRPr="00193392" w:rsidRDefault="00193392" w:rsidP="00193392">
            <w:pPr>
              <w:spacing w:after="120" w:line="240" w:lineRule="auto"/>
              <w:contextualSpacing/>
              <w:rPr>
                <w:rFonts w:ascii="Calibri" w:eastAsia="Calibri" w:hAnsi="Calibri" w:cs="Calibri"/>
                <w:b/>
                <w:bCs/>
                <w:color w:val="000000"/>
                <w:sz w:val="22"/>
              </w:rPr>
            </w:pPr>
            <w:r w:rsidRPr="00193392">
              <w:rPr>
                <w:rFonts w:ascii="Calibri" w:eastAsia="Calibri" w:hAnsi="Calibri" w:cs="Calibri"/>
                <w:b/>
                <w:bCs/>
                <w:color w:val="000000"/>
                <w:sz w:val="22"/>
              </w:rPr>
              <w:lastRenderedPageBreak/>
              <w:t>GPA Open Session Liaison with Host Authority</w:t>
            </w:r>
          </w:p>
        </w:tc>
        <w:tc>
          <w:tcPr>
            <w:tcW w:w="3666" w:type="pct"/>
            <w:shd w:val="clear" w:color="auto" w:fill="auto"/>
          </w:tcPr>
          <w:p w14:paraId="32EE77D4" w14:textId="77777777" w:rsidR="00193392" w:rsidRPr="00193392" w:rsidRDefault="00193392" w:rsidP="00193392">
            <w:pPr>
              <w:numPr>
                <w:ilvl w:val="0"/>
                <w:numId w:val="7"/>
              </w:numPr>
              <w:spacing w:after="0" w:line="240" w:lineRule="auto"/>
              <w:contextualSpacing/>
              <w:rPr>
                <w:rFonts w:ascii="Calibri" w:eastAsia="Calibri" w:hAnsi="Calibri" w:cs="Calibri"/>
                <w:sz w:val="22"/>
              </w:rPr>
            </w:pPr>
            <w:r w:rsidRPr="00193392">
              <w:rPr>
                <w:rFonts w:ascii="Calibri" w:eastAsia="Calibri" w:hAnsi="Calibri" w:cs="Calibri"/>
                <w:sz w:val="22"/>
              </w:rPr>
              <w:t xml:space="preserve">Secretariat and host authority to establish regular staff-level meetings to support the organisation of the Conference Open Session and to share relevant information on planning, </w:t>
            </w:r>
            <w:proofErr w:type="gramStart"/>
            <w:r w:rsidRPr="00193392">
              <w:rPr>
                <w:rFonts w:ascii="Calibri" w:eastAsia="Calibri" w:hAnsi="Calibri" w:cs="Calibri"/>
                <w:sz w:val="22"/>
              </w:rPr>
              <w:t>deliverables</w:t>
            </w:r>
            <w:proofErr w:type="gramEnd"/>
            <w:r w:rsidRPr="00193392">
              <w:rPr>
                <w:rFonts w:ascii="Calibri" w:eastAsia="Calibri" w:hAnsi="Calibri" w:cs="Calibri"/>
                <w:sz w:val="22"/>
              </w:rPr>
              <w:t xml:space="preserve"> and outputs.</w:t>
            </w:r>
          </w:p>
          <w:p w14:paraId="0177D630" w14:textId="77777777" w:rsidR="00193392" w:rsidRPr="00193392" w:rsidRDefault="00193392" w:rsidP="00193392">
            <w:pPr>
              <w:numPr>
                <w:ilvl w:val="0"/>
                <w:numId w:val="7"/>
              </w:numPr>
              <w:spacing w:after="0" w:line="240" w:lineRule="auto"/>
              <w:contextualSpacing/>
              <w:rPr>
                <w:rFonts w:ascii="Calibri" w:eastAsia="Calibri" w:hAnsi="Calibri" w:cs="Calibri"/>
                <w:sz w:val="22"/>
              </w:rPr>
            </w:pPr>
            <w:r w:rsidRPr="00193392">
              <w:rPr>
                <w:rFonts w:ascii="Calibri" w:eastAsia="Calibri" w:hAnsi="Calibri" w:cs="Calibri"/>
                <w:sz w:val="22"/>
              </w:rPr>
              <w:t>Secretariat to act as liaison between the Executive Committee and host authority and provide appropriate support to develop the following for the GPA Open Session:</w:t>
            </w:r>
          </w:p>
          <w:p w14:paraId="6D609E91"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Title/Theme.</w:t>
            </w:r>
          </w:p>
          <w:p w14:paraId="2EB0042F"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Logo/branding.</w:t>
            </w:r>
          </w:p>
          <w:p w14:paraId="319D467B"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GPA own Website to include registration details, Open Session programmes and advise the Host Authority on closed website repository for relevant documents.</w:t>
            </w:r>
          </w:p>
          <w:p w14:paraId="79A5BA7E"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Communications plan.</w:t>
            </w:r>
          </w:p>
          <w:p w14:paraId="65F05D7F"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Provide any support to the Host Authority in advising on the establishment of a Programme Advisory Committee (PAC) for development of the title and themes of the Conference, the selection of speakers/contributors and the skeleton structure of Open Session programme and associated side events: this year we are trialling the use of the Reference Panel as the PAC.</w:t>
            </w:r>
          </w:p>
          <w:p w14:paraId="513FB65D"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lastRenderedPageBreak/>
              <w:t>The Secretariat to advise the GPA host authority on design and branding for appropriate slide decks and speaker liaison.</w:t>
            </w:r>
          </w:p>
          <w:p w14:paraId="1443F6D6"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Development with the host authority of electronic evaluation surveys for all aspects of the event.</w:t>
            </w:r>
          </w:p>
          <w:p w14:paraId="0E613C8C"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Organisation of any Executive Committee meetings to be held during the event.</w:t>
            </w:r>
          </w:p>
          <w:p w14:paraId="435C814E" w14:textId="77777777" w:rsidR="00193392" w:rsidRPr="00193392" w:rsidRDefault="00193392" w:rsidP="00193392">
            <w:pPr>
              <w:spacing w:after="120" w:line="240" w:lineRule="auto"/>
              <w:contextualSpacing/>
              <w:rPr>
                <w:rFonts w:ascii="Calibri" w:eastAsia="Calibri" w:hAnsi="Calibri" w:cs="Calibri"/>
                <w:color w:val="000000"/>
                <w:sz w:val="22"/>
              </w:rPr>
            </w:pPr>
          </w:p>
        </w:tc>
      </w:tr>
      <w:tr w:rsidR="00193392" w:rsidRPr="00193392" w14:paraId="71754BCB" w14:textId="77777777" w:rsidTr="00193392">
        <w:tc>
          <w:tcPr>
            <w:tcW w:w="1334" w:type="pct"/>
            <w:shd w:val="clear" w:color="auto" w:fill="auto"/>
          </w:tcPr>
          <w:p w14:paraId="0380903C" w14:textId="77777777" w:rsidR="00193392" w:rsidRPr="00193392" w:rsidRDefault="00193392" w:rsidP="00193392">
            <w:pPr>
              <w:spacing w:after="120" w:line="240" w:lineRule="auto"/>
              <w:contextualSpacing/>
              <w:rPr>
                <w:rFonts w:ascii="Calibri" w:eastAsia="Calibri" w:hAnsi="Calibri" w:cs="Calibri"/>
                <w:b/>
                <w:bCs/>
                <w:color w:val="000000"/>
                <w:sz w:val="22"/>
              </w:rPr>
            </w:pPr>
            <w:r w:rsidRPr="00193392">
              <w:rPr>
                <w:rFonts w:ascii="Calibri" w:eastAsia="Calibri" w:hAnsi="Calibri" w:cs="Calibri"/>
                <w:b/>
                <w:bCs/>
                <w:color w:val="000000"/>
                <w:sz w:val="22"/>
              </w:rPr>
              <w:lastRenderedPageBreak/>
              <w:t>GPA Closed Session</w:t>
            </w:r>
          </w:p>
        </w:tc>
        <w:tc>
          <w:tcPr>
            <w:tcW w:w="3666" w:type="pct"/>
            <w:shd w:val="clear" w:color="auto" w:fill="auto"/>
          </w:tcPr>
          <w:p w14:paraId="7629F222" w14:textId="77777777" w:rsidR="00193392" w:rsidRPr="00193392" w:rsidRDefault="00193392" w:rsidP="00193392">
            <w:pPr>
              <w:numPr>
                <w:ilvl w:val="0"/>
                <w:numId w:val="8"/>
              </w:numPr>
              <w:spacing w:after="0" w:line="240" w:lineRule="auto"/>
              <w:contextualSpacing/>
              <w:rPr>
                <w:rFonts w:ascii="Calibri" w:eastAsia="Calibri" w:hAnsi="Calibri" w:cs="Calibri"/>
                <w:sz w:val="22"/>
              </w:rPr>
            </w:pPr>
            <w:r w:rsidRPr="00193392">
              <w:rPr>
                <w:rFonts w:ascii="Calibri" w:eastAsia="Calibri" w:hAnsi="Calibri" w:cs="Calibri"/>
                <w:sz w:val="22"/>
              </w:rPr>
              <w:t>The Secretariat in consultation with the Executive Committee is responsible for delivering the GPA Closed Session, to:</w:t>
            </w:r>
          </w:p>
          <w:p w14:paraId="423B063A"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Manage and organise all conference documentation for the Closed Session and ensure timely distribution to the GPA membership.</w:t>
            </w:r>
          </w:p>
          <w:p w14:paraId="6D6AACEB" w14:textId="77777777" w:rsidR="00193392" w:rsidRPr="00193392" w:rsidRDefault="00193392" w:rsidP="00193392">
            <w:pPr>
              <w:numPr>
                <w:ilvl w:val="2"/>
                <w:numId w:val="12"/>
              </w:numPr>
              <w:spacing w:after="0" w:line="240" w:lineRule="auto"/>
              <w:contextualSpacing/>
              <w:rPr>
                <w:rFonts w:ascii="Calibri" w:eastAsia="Calibri" w:hAnsi="Calibri" w:cs="Calibri"/>
                <w:sz w:val="22"/>
              </w:rPr>
            </w:pPr>
            <w:r w:rsidRPr="00193392">
              <w:rPr>
                <w:rFonts w:ascii="Calibri" w:eastAsia="Calibri" w:hAnsi="Calibri" w:cs="Calibri"/>
                <w:sz w:val="22"/>
              </w:rPr>
              <w:t>Manage and organise the voting procedure for the Closed Session for adoption of the Working Group Reports, Resolutions/Statements/Resolution, and for any elections.</w:t>
            </w:r>
          </w:p>
          <w:p w14:paraId="3078A903" w14:textId="77777777" w:rsidR="00193392" w:rsidRPr="00193392" w:rsidRDefault="00193392" w:rsidP="00193392">
            <w:pPr>
              <w:spacing w:after="120" w:line="240" w:lineRule="auto"/>
              <w:ind w:left="720"/>
              <w:contextualSpacing/>
              <w:rPr>
                <w:rFonts w:ascii="Calibri" w:eastAsia="Calibri" w:hAnsi="Calibri" w:cs="Calibri"/>
                <w:color w:val="000000"/>
                <w:sz w:val="22"/>
              </w:rPr>
            </w:pPr>
            <w:r w:rsidRPr="00193392">
              <w:rPr>
                <w:rFonts w:ascii="Calibri" w:eastAsia="Calibri" w:hAnsi="Calibri" w:cs="Calibri"/>
                <w:color w:val="000000"/>
                <w:sz w:val="22"/>
              </w:rPr>
              <w:t xml:space="preserve">As well as to develop: </w:t>
            </w:r>
          </w:p>
          <w:p w14:paraId="1FF89276"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Closed Session Title/Theme.</w:t>
            </w:r>
          </w:p>
          <w:p w14:paraId="1E177F74"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Logo/branding.</w:t>
            </w:r>
          </w:p>
          <w:p w14:paraId="06813CAB"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Agenda; the timing for the Closed Session agenda to be confirmed by the GPA host authority.</w:t>
            </w:r>
          </w:p>
          <w:p w14:paraId="27011017"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Logistics for the Closed Session, in consultation with the host authority.</w:t>
            </w:r>
          </w:p>
          <w:p w14:paraId="6ED2FD06"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Selection and coordination/liaison with speakers and contributors.</w:t>
            </w:r>
          </w:p>
          <w:p w14:paraId="2F41B1A3"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Slide decks and distribution of the slide template to the relevant speakers/contributors.</w:t>
            </w:r>
          </w:p>
          <w:p w14:paraId="064887C5"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Website to include registration details, Closed Session programme details.</w:t>
            </w:r>
          </w:p>
          <w:p w14:paraId="278D43F8" w14:textId="77777777" w:rsidR="00193392" w:rsidRPr="00193392" w:rsidRDefault="00193392" w:rsidP="00193392">
            <w:pPr>
              <w:numPr>
                <w:ilvl w:val="2"/>
                <w:numId w:val="12"/>
              </w:numPr>
              <w:spacing w:after="0" w:line="240" w:lineRule="auto"/>
              <w:contextualSpacing/>
              <w:jc w:val="both"/>
              <w:rPr>
                <w:rFonts w:ascii="Calibri" w:eastAsia="Calibri" w:hAnsi="Calibri" w:cs="Calibri"/>
                <w:sz w:val="22"/>
              </w:rPr>
            </w:pPr>
            <w:r w:rsidRPr="00193392">
              <w:rPr>
                <w:rFonts w:ascii="Calibri" w:eastAsia="Calibri" w:hAnsi="Calibri" w:cs="Calibri"/>
                <w:sz w:val="22"/>
              </w:rPr>
              <w:t>Communications plan and materials.</w:t>
            </w:r>
          </w:p>
        </w:tc>
      </w:tr>
      <w:tr w:rsidR="00193392" w:rsidRPr="00193392" w14:paraId="797BF22C" w14:textId="77777777" w:rsidTr="00193392">
        <w:tc>
          <w:tcPr>
            <w:tcW w:w="1334" w:type="pct"/>
            <w:shd w:val="clear" w:color="auto" w:fill="auto"/>
          </w:tcPr>
          <w:p w14:paraId="3BE9AE9F" w14:textId="77777777" w:rsidR="00193392" w:rsidRPr="00193392" w:rsidRDefault="00193392" w:rsidP="00193392">
            <w:pPr>
              <w:spacing w:after="120" w:line="240" w:lineRule="auto"/>
              <w:contextualSpacing/>
              <w:rPr>
                <w:rFonts w:ascii="Calibri" w:eastAsia="Calibri" w:hAnsi="Calibri" w:cs="Calibri"/>
                <w:b/>
                <w:bCs/>
                <w:color w:val="000000"/>
                <w:sz w:val="22"/>
              </w:rPr>
            </w:pPr>
            <w:r w:rsidRPr="00193392">
              <w:rPr>
                <w:rFonts w:ascii="Calibri" w:eastAsia="Calibri" w:hAnsi="Calibri" w:cs="Calibri"/>
                <w:b/>
                <w:bCs/>
                <w:color w:val="000000"/>
                <w:sz w:val="22"/>
              </w:rPr>
              <w:t>GPA Global Privacy and Data Protection Awards</w:t>
            </w:r>
          </w:p>
        </w:tc>
        <w:tc>
          <w:tcPr>
            <w:tcW w:w="3666" w:type="pct"/>
            <w:shd w:val="clear" w:color="auto" w:fill="auto"/>
          </w:tcPr>
          <w:p w14:paraId="0EDCD79E" w14:textId="77777777" w:rsidR="00193392" w:rsidRPr="00193392" w:rsidRDefault="00193392" w:rsidP="00193392">
            <w:pPr>
              <w:numPr>
                <w:ilvl w:val="0"/>
                <w:numId w:val="8"/>
              </w:numPr>
              <w:spacing w:after="0" w:line="240" w:lineRule="auto"/>
              <w:contextualSpacing/>
              <w:rPr>
                <w:rFonts w:ascii="Calibri" w:eastAsia="Calibri" w:hAnsi="Calibri" w:cs="Calibri"/>
                <w:sz w:val="22"/>
              </w:rPr>
            </w:pPr>
            <w:r w:rsidRPr="00193392">
              <w:rPr>
                <w:rFonts w:ascii="Calibri" w:eastAsia="Calibri" w:hAnsi="Calibri" w:cs="Calibri"/>
                <w:sz w:val="22"/>
              </w:rPr>
              <w:t>The Secretariat is responsible for organising and promoting the GPA Awards, in liaison with the Executive Committee, the GPA membership and the host authority:</w:t>
            </w:r>
          </w:p>
          <w:p w14:paraId="4948714F"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Prepare a communications plan and organise the launch and promotional activities for the Awards via all GPA communication channels.</w:t>
            </w:r>
          </w:p>
          <w:p w14:paraId="7B2FC447"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Ensure applications for the Awards are posted on the GPA website.</w:t>
            </w:r>
          </w:p>
          <w:p w14:paraId="7289DD2A"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 xml:space="preserve">Manage the selection process for the Awards in liaison with the Executive Committee and the GPA membership. </w:t>
            </w:r>
          </w:p>
          <w:p w14:paraId="2DF67A63"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Design/organise the preparation of the awards trophies and certificates.</w:t>
            </w:r>
          </w:p>
          <w:p w14:paraId="63C1F19E"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Support the host authority in organising and managing the logistics for the Awards ceremony (which usually takes place at an agreed appropriate point during the Conference week, or with alternative arrangements where required)</w:t>
            </w:r>
          </w:p>
          <w:p w14:paraId="225F2972"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Promotion of award winners through all GPA communications channels.</w:t>
            </w:r>
          </w:p>
          <w:p w14:paraId="37C5B53C" w14:textId="77777777" w:rsidR="00193392" w:rsidRPr="00193392" w:rsidRDefault="00193392" w:rsidP="00193392">
            <w:pPr>
              <w:numPr>
                <w:ilvl w:val="1"/>
                <w:numId w:val="8"/>
              </w:numPr>
              <w:spacing w:after="0" w:line="240" w:lineRule="auto"/>
              <w:contextualSpacing/>
              <w:rPr>
                <w:rFonts w:ascii="Calibri" w:eastAsia="Calibri" w:hAnsi="Calibri" w:cs="Calibri"/>
                <w:sz w:val="22"/>
              </w:rPr>
            </w:pPr>
            <w:r w:rsidRPr="00193392">
              <w:rPr>
                <w:rFonts w:ascii="Calibri" w:eastAsia="Calibri" w:hAnsi="Calibri" w:cs="Calibri"/>
                <w:sz w:val="22"/>
              </w:rPr>
              <w:t xml:space="preserve">Develop any new award proposal concepts. </w:t>
            </w:r>
          </w:p>
          <w:p w14:paraId="36C688D4" w14:textId="77777777" w:rsidR="00193392" w:rsidRPr="00193392" w:rsidRDefault="00193392" w:rsidP="00193392">
            <w:pPr>
              <w:spacing w:after="200" w:line="240" w:lineRule="auto"/>
              <w:ind w:left="1080"/>
              <w:contextualSpacing/>
              <w:rPr>
                <w:rFonts w:ascii="Calibri" w:eastAsia="Calibri" w:hAnsi="Calibri" w:cs="Calibri"/>
                <w:sz w:val="22"/>
              </w:rPr>
            </w:pPr>
          </w:p>
        </w:tc>
      </w:tr>
      <w:tr w:rsidR="00193392" w:rsidRPr="00193392" w14:paraId="3D2E079C" w14:textId="77777777" w:rsidTr="00193392">
        <w:tc>
          <w:tcPr>
            <w:tcW w:w="1334" w:type="pct"/>
            <w:shd w:val="clear" w:color="auto" w:fill="auto"/>
          </w:tcPr>
          <w:p w14:paraId="230674ED" w14:textId="77777777" w:rsidR="00193392" w:rsidRPr="00193392" w:rsidRDefault="00193392" w:rsidP="00193392">
            <w:pPr>
              <w:spacing w:after="120" w:line="276" w:lineRule="auto"/>
              <w:contextualSpacing/>
              <w:rPr>
                <w:rFonts w:ascii="Calibri" w:eastAsia="Calibri" w:hAnsi="Calibri" w:cs="Calibri"/>
                <w:color w:val="000000"/>
                <w:sz w:val="22"/>
              </w:rPr>
            </w:pPr>
            <w:r w:rsidRPr="00193392">
              <w:rPr>
                <w:rFonts w:ascii="Calibri" w:eastAsia="Calibri" w:hAnsi="Calibri" w:cs="Calibri"/>
                <w:b/>
                <w:bCs/>
                <w:color w:val="000000"/>
                <w:sz w:val="22"/>
              </w:rPr>
              <w:lastRenderedPageBreak/>
              <w:t>Other potential roles (scalable according to future need, to be decided by future Chair)</w:t>
            </w:r>
            <w:r w:rsidRPr="00193392">
              <w:rPr>
                <w:rFonts w:ascii="Calibri" w:eastAsia="Calibri" w:hAnsi="Calibri" w:cs="Calibri"/>
                <w:color w:val="000000"/>
                <w:sz w:val="22"/>
              </w:rPr>
              <w:t xml:space="preserve">: </w:t>
            </w:r>
          </w:p>
          <w:p w14:paraId="49C07426" w14:textId="77777777" w:rsidR="00193392" w:rsidRPr="00193392" w:rsidRDefault="00193392" w:rsidP="00193392">
            <w:pPr>
              <w:spacing w:after="120" w:line="240" w:lineRule="auto"/>
              <w:contextualSpacing/>
              <w:rPr>
                <w:rFonts w:ascii="Calibri" w:eastAsia="Calibri" w:hAnsi="Calibri" w:cs="Calibri"/>
                <w:b/>
                <w:bCs/>
                <w:color w:val="000000"/>
                <w:sz w:val="22"/>
              </w:rPr>
            </w:pPr>
          </w:p>
        </w:tc>
        <w:tc>
          <w:tcPr>
            <w:tcW w:w="3666" w:type="pct"/>
            <w:shd w:val="clear" w:color="auto" w:fill="auto"/>
          </w:tcPr>
          <w:p w14:paraId="7734BDA7" w14:textId="77777777" w:rsidR="00193392" w:rsidRPr="00193392" w:rsidRDefault="00193392" w:rsidP="00193392">
            <w:pPr>
              <w:numPr>
                <w:ilvl w:val="0"/>
                <w:numId w:val="8"/>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If the future GPA Chair wishes to continue with the operation of the Strategic Direction Sub-Committee, the Secretariat would continue to act as a liaison between the Sub-Committee and the Executive Committee. </w:t>
            </w:r>
          </w:p>
          <w:p w14:paraId="3D5CA66E" w14:textId="77777777" w:rsidR="00193392" w:rsidRPr="00193392" w:rsidRDefault="00193392" w:rsidP="00193392">
            <w:pPr>
              <w:numPr>
                <w:ilvl w:val="0"/>
                <w:numId w:val="8"/>
              </w:numPr>
              <w:spacing w:after="0" w:line="240" w:lineRule="auto"/>
              <w:contextualSpacing/>
              <w:jc w:val="both"/>
              <w:rPr>
                <w:rFonts w:ascii="Calibri" w:eastAsia="Calibri" w:hAnsi="Calibri" w:cs="Calibri"/>
                <w:sz w:val="22"/>
              </w:rPr>
            </w:pPr>
            <w:r w:rsidRPr="00193392">
              <w:rPr>
                <w:rFonts w:ascii="Calibri" w:eastAsia="Calibri" w:hAnsi="Calibri" w:cs="Calibri"/>
                <w:sz w:val="22"/>
              </w:rPr>
              <w:t xml:space="preserve">In addition to this, as explained in the </w:t>
            </w:r>
            <w:r w:rsidRPr="00193392">
              <w:rPr>
                <w:rFonts w:ascii="Calibri" w:eastAsia="Calibri" w:hAnsi="Calibri" w:cs="Calibri"/>
                <w:i/>
                <w:iCs/>
                <w:sz w:val="22"/>
              </w:rPr>
              <w:t xml:space="preserve">Proposed Plans </w:t>
            </w:r>
            <w:r w:rsidRPr="00193392">
              <w:rPr>
                <w:rFonts w:ascii="Calibri" w:eastAsia="Calibri" w:hAnsi="Calibri" w:cs="Calibri"/>
                <w:sz w:val="22"/>
              </w:rPr>
              <w:t>paper from the Future of the Conference Working Group, should the GPA Secretariat become its own legal entity, the additional task of overseeing the GPA’s financial affairs would be added to the Secretariat’s duties. This would potentially entail reporting to the Executive Committee and the GPA membership on the yearly budget and expenditures.</w:t>
            </w:r>
          </w:p>
          <w:p w14:paraId="2669A00E" w14:textId="77777777" w:rsidR="00193392" w:rsidRPr="00193392" w:rsidRDefault="00193392" w:rsidP="00193392">
            <w:pPr>
              <w:spacing w:after="200" w:line="240" w:lineRule="auto"/>
              <w:ind w:left="360"/>
              <w:contextualSpacing/>
              <w:rPr>
                <w:rFonts w:ascii="Calibri" w:eastAsia="Calibri" w:hAnsi="Calibri" w:cs="Calibri"/>
                <w:sz w:val="22"/>
              </w:rPr>
            </w:pPr>
          </w:p>
        </w:tc>
      </w:tr>
    </w:tbl>
    <w:p w14:paraId="44AE58E0" w14:textId="59B7F60B" w:rsidR="00BA47A7" w:rsidRPr="004A796A" w:rsidRDefault="00BA47A7" w:rsidP="00EE1DE9"/>
    <w:sectPr w:rsidR="00BA47A7" w:rsidRPr="004A796A" w:rsidSect="00366358">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01AD" w14:textId="77777777" w:rsidR="009A5FE4" w:rsidRDefault="009A5FE4" w:rsidP="00366358">
      <w:pPr>
        <w:spacing w:after="0" w:line="240" w:lineRule="auto"/>
      </w:pPr>
      <w:r>
        <w:separator/>
      </w:r>
    </w:p>
  </w:endnote>
  <w:endnote w:type="continuationSeparator" w:id="0">
    <w:p w14:paraId="254A8E44" w14:textId="77777777" w:rsidR="009A5FE4" w:rsidRDefault="009A5FE4" w:rsidP="0036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9297015"/>
      <w:docPartObj>
        <w:docPartGallery w:val="Page Numbers (Bottom of Page)"/>
        <w:docPartUnique/>
      </w:docPartObj>
    </w:sdtPr>
    <w:sdtEndPr>
      <w:rPr>
        <w:rFonts w:asciiTheme="minorHAnsi" w:hAnsiTheme="minorHAnsi" w:cstheme="minorHAnsi"/>
        <w:noProof/>
        <w:sz w:val="22"/>
        <w:szCs w:val="20"/>
      </w:rPr>
    </w:sdtEndPr>
    <w:sdtContent>
      <w:p w14:paraId="66F37D2F" w14:textId="05949401" w:rsidR="007A069A" w:rsidRPr="007A069A" w:rsidRDefault="007A069A" w:rsidP="007A069A">
        <w:pPr>
          <w:pStyle w:val="Piedepgina"/>
          <w:jc w:val="right"/>
          <w:rPr>
            <w:rFonts w:asciiTheme="minorHAnsi" w:hAnsiTheme="minorHAnsi" w:cstheme="minorHAnsi"/>
            <w:sz w:val="22"/>
            <w:szCs w:val="20"/>
          </w:rPr>
        </w:pPr>
        <w:r w:rsidRPr="007A069A">
          <w:rPr>
            <w:rFonts w:asciiTheme="minorHAnsi" w:hAnsiTheme="minorHAnsi" w:cstheme="minorHAnsi"/>
            <w:sz w:val="22"/>
            <w:szCs w:val="20"/>
          </w:rPr>
          <w:fldChar w:fldCharType="begin"/>
        </w:r>
        <w:r w:rsidRPr="007A069A">
          <w:rPr>
            <w:rFonts w:asciiTheme="minorHAnsi" w:hAnsiTheme="minorHAnsi" w:cstheme="minorHAnsi"/>
            <w:sz w:val="22"/>
            <w:szCs w:val="20"/>
          </w:rPr>
          <w:instrText xml:space="preserve"> PAGE   \* MERGEFORMAT </w:instrText>
        </w:r>
        <w:r w:rsidRPr="007A069A">
          <w:rPr>
            <w:rFonts w:asciiTheme="minorHAnsi" w:hAnsiTheme="minorHAnsi" w:cstheme="minorHAnsi"/>
            <w:sz w:val="22"/>
            <w:szCs w:val="20"/>
          </w:rPr>
          <w:fldChar w:fldCharType="separate"/>
        </w:r>
        <w:r w:rsidRPr="007A069A">
          <w:rPr>
            <w:rFonts w:asciiTheme="minorHAnsi" w:hAnsiTheme="minorHAnsi" w:cstheme="minorHAnsi"/>
            <w:noProof/>
            <w:sz w:val="22"/>
            <w:szCs w:val="20"/>
          </w:rPr>
          <w:t>2</w:t>
        </w:r>
        <w:r w:rsidRPr="007A069A">
          <w:rPr>
            <w:rFonts w:asciiTheme="minorHAnsi" w:hAnsiTheme="minorHAnsi" w:cstheme="minorHAnsi"/>
            <w:noProof/>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50E9" w14:textId="77777777" w:rsidR="009A5FE4" w:rsidRDefault="009A5FE4" w:rsidP="00366358">
      <w:pPr>
        <w:spacing w:after="0" w:line="240" w:lineRule="auto"/>
      </w:pPr>
      <w:r>
        <w:separator/>
      </w:r>
    </w:p>
  </w:footnote>
  <w:footnote w:type="continuationSeparator" w:id="0">
    <w:p w14:paraId="20368276" w14:textId="77777777" w:rsidR="009A5FE4" w:rsidRDefault="009A5FE4" w:rsidP="00366358">
      <w:pPr>
        <w:spacing w:after="0" w:line="240" w:lineRule="auto"/>
      </w:pPr>
      <w:r>
        <w:continuationSeparator/>
      </w:r>
    </w:p>
  </w:footnote>
  <w:footnote w:id="1">
    <w:p w14:paraId="358E8555" w14:textId="3C451D24" w:rsidR="001F3E32" w:rsidRPr="007114D4" w:rsidRDefault="001F3E32">
      <w:pPr>
        <w:pStyle w:val="Textonotapie"/>
        <w:rPr>
          <w:rFonts w:asciiTheme="minorHAnsi" w:hAnsiTheme="minorHAnsi" w:cstheme="minorHAnsi"/>
        </w:rPr>
      </w:pPr>
      <w:r w:rsidRPr="007114D4">
        <w:rPr>
          <w:rStyle w:val="Refdenotaalpie"/>
          <w:rFonts w:asciiTheme="minorHAnsi" w:hAnsiTheme="minorHAnsi" w:cstheme="minorHAnsi"/>
        </w:rPr>
        <w:footnoteRef/>
      </w:r>
      <w:r w:rsidRPr="007114D4">
        <w:rPr>
          <w:rFonts w:asciiTheme="minorHAnsi" w:hAnsiTheme="minorHAnsi" w:cstheme="minorHAnsi"/>
        </w:rPr>
        <w:t xml:space="preserve"> See </w:t>
      </w:r>
      <w:proofErr w:type="gramStart"/>
      <w:r w:rsidRPr="007114D4">
        <w:rPr>
          <w:rFonts w:asciiTheme="minorHAnsi" w:hAnsiTheme="minorHAnsi" w:cstheme="minorHAnsi"/>
        </w:rPr>
        <w:t>in particular Rule</w:t>
      </w:r>
      <w:proofErr w:type="gramEnd"/>
      <w:r w:rsidRPr="007114D4">
        <w:rPr>
          <w:rFonts w:asciiTheme="minorHAnsi" w:hAnsiTheme="minorHAnsi" w:cstheme="minorHAnsi"/>
        </w:rPr>
        <w:t xml:space="preserve"> </w:t>
      </w:r>
      <w:r w:rsidR="00AC3E0F" w:rsidRPr="007114D4">
        <w:rPr>
          <w:rFonts w:asciiTheme="minorHAnsi" w:hAnsiTheme="minorHAnsi" w:cstheme="minorHAnsi"/>
        </w:rPr>
        <w:t>3.5.</w:t>
      </w:r>
    </w:p>
  </w:footnote>
  <w:footnote w:id="2">
    <w:p w14:paraId="78F5284B" w14:textId="77777777" w:rsidR="007538C6" w:rsidRPr="007114D4" w:rsidRDefault="007538C6" w:rsidP="007538C6">
      <w:pPr>
        <w:pStyle w:val="Textonotapie"/>
        <w:rPr>
          <w:rFonts w:asciiTheme="minorHAnsi" w:hAnsiTheme="minorHAnsi" w:cstheme="minorHAnsi"/>
        </w:rPr>
      </w:pPr>
      <w:r w:rsidRPr="007114D4">
        <w:rPr>
          <w:rStyle w:val="Refdenotaalpie"/>
          <w:rFonts w:asciiTheme="minorHAnsi" w:hAnsiTheme="minorHAnsi" w:cstheme="minorHAnsi"/>
        </w:rPr>
        <w:footnoteRef/>
      </w:r>
      <w:r w:rsidRPr="007114D4">
        <w:rPr>
          <w:rFonts w:asciiTheme="minorHAnsi" w:hAnsiTheme="minorHAnsi" w:cstheme="minorHAnsi"/>
        </w:rPr>
        <w:t xml:space="preserve"> https://globalprivacyassembly.org/wp-content/uploads/2021/10/Resolution-on-the-Future-of-the-Conference-and-the-Secretariat-adopted-version.pdf</w:t>
      </w:r>
    </w:p>
  </w:footnote>
  <w:footnote w:id="3">
    <w:p w14:paraId="6744B63E" w14:textId="77777777" w:rsidR="001609E9" w:rsidRPr="007114D4" w:rsidRDefault="001609E9" w:rsidP="001609E9">
      <w:pPr>
        <w:pStyle w:val="Textonotapie"/>
        <w:rPr>
          <w:rFonts w:asciiTheme="minorHAnsi" w:hAnsiTheme="minorHAnsi" w:cstheme="minorHAnsi"/>
        </w:rPr>
      </w:pPr>
      <w:r w:rsidRPr="007114D4">
        <w:rPr>
          <w:rStyle w:val="Refdenotaalpie"/>
          <w:rFonts w:asciiTheme="minorHAnsi" w:hAnsiTheme="minorHAnsi" w:cstheme="minorHAnsi"/>
        </w:rPr>
        <w:footnoteRef/>
      </w:r>
      <w:r w:rsidRPr="007114D4">
        <w:rPr>
          <w:rFonts w:asciiTheme="minorHAnsi" w:hAnsiTheme="minorHAnsi" w:cstheme="minorHAnsi"/>
        </w:rPr>
        <w:t xml:space="preserve"> </w:t>
      </w:r>
      <w:hyperlink r:id="rId1" w:history="1">
        <w:r w:rsidRPr="007114D4">
          <w:rPr>
            <w:rStyle w:val="Hipervnculo"/>
            <w:rFonts w:asciiTheme="minorHAnsi" w:hAnsiTheme="minorHAnsi" w:cstheme="minorHAnsi"/>
            <w:sz w:val="20"/>
            <w:szCs w:val="20"/>
          </w:rPr>
          <w:t>Resolution on the Future of the Conference and the Secretariat, Annex 1: The Funded Secretariat Explanatory Note</w:t>
        </w:r>
      </w:hyperlink>
      <w:r w:rsidRPr="007114D4">
        <w:rPr>
          <w:rFonts w:asciiTheme="minorHAnsi" w:hAnsiTheme="minorHAnsi" w:cstheme="minorHAnsi"/>
        </w:rPr>
        <w:t>.</w:t>
      </w:r>
    </w:p>
  </w:footnote>
  <w:footnote w:id="4">
    <w:p w14:paraId="74CB727C" w14:textId="77777777" w:rsidR="00103708" w:rsidRPr="007114D4" w:rsidRDefault="00103708" w:rsidP="00103708">
      <w:pPr>
        <w:pStyle w:val="Textonotapie"/>
        <w:rPr>
          <w:rFonts w:asciiTheme="minorHAnsi" w:hAnsiTheme="minorHAnsi" w:cstheme="minorHAnsi"/>
        </w:rPr>
      </w:pPr>
      <w:r w:rsidRPr="007114D4">
        <w:rPr>
          <w:rStyle w:val="Refdenotaalpie"/>
          <w:rFonts w:asciiTheme="minorHAnsi" w:hAnsiTheme="minorHAnsi" w:cstheme="minorHAnsi"/>
        </w:rPr>
        <w:footnoteRef/>
      </w:r>
      <w:r w:rsidRPr="007114D4">
        <w:rPr>
          <w:rFonts w:asciiTheme="minorHAnsi" w:hAnsiTheme="minorHAnsi" w:cstheme="minorHAnsi"/>
        </w:rPr>
        <w:t xml:space="preserve"> Rule 6.2 of the Rules and Procedures – Language/Assembly documents: “Assembly documents, including accreditation and observer applications may be submitted in English or in another language. In the latter case, the documents shall be accompanied by an English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EB63" w14:textId="19088A5D" w:rsidR="00366358" w:rsidRPr="00366358" w:rsidRDefault="00366358" w:rsidP="0036635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8995" w14:textId="05EB3E56" w:rsidR="00366358" w:rsidRDefault="00366358" w:rsidP="00366358">
    <w:pPr>
      <w:pStyle w:val="Encabezado"/>
      <w:jc w:val="center"/>
    </w:pPr>
    <w:r w:rsidRPr="005B0F01">
      <w:rPr>
        <w:rFonts w:ascii="Open Sans" w:hAnsi="Open Sans" w:cs="Open Sans"/>
        <w:noProof/>
        <w:color w:val="00B050"/>
        <w:lang w:val="fr-FR" w:eastAsia="fr-FR"/>
      </w:rPr>
      <w:drawing>
        <wp:inline distT="0" distB="0" distL="0" distR="0" wp14:anchorId="2CC311A1" wp14:editId="528823A8">
          <wp:extent cx="1084521" cy="10521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1801" cy="1088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B93"/>
    <w:multiLevelType w:val="hybridMultilevel"/>
    <w:tmpl w:val="B16C1930"/>
    <w:lvl w:ilvl="0" w:tplc="BE1E0066">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06993E91"/>
    <w:multiLevelType w:val="hybridMultilevel"/>
    <w:tmpl w:val="5290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20C78"/>
    <w:multiLevelType w:val="hybridMultilevel"/>
    <w:tmpl w:val="E8D4BE30"/>
    <w:lvl w:ilvl="0" w:tplc="ACE44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C42BD5"/>
    <w:multiLevelType w:val="hybridMultilevel"/>
    <w:tmpl w:val="323EF666"/>
    <w:lvl w:ilvl="0" w:tplc="3198E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478AC"/>
    <w:multiLevelType w:val="hybridMultilevel"/>
    <w:tmpl w:val="43F8F930"/>
    <w:lvl w:ilvl="0" w:tplc="C706C46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7C2343F"/>
    <w:multiLevelType w:val="hybridMultilevel"/>
    <w:tmpl w:val="7006F6A0"/>
    <w:lvl w:ilvl="0" w:tplc="2C10B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96C2F"/>
    <w:multiLevelType w:val="hybridMultilevel"/>
    <w:tmpl w:val="8C2E4BBA"/>
    <w:lvl w:ilvl="0" w:tplc="90967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3810C8"/>
    <w:multiLevelType w:val="hybridMultilevel"/>
    <w:tmpl w:val="04AC9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334F4"/>
    <w:multiLevelType w:val="hybridMultilevel"/>
    <w:tmpl w:val="EFC04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E1154"/>
    <w:multiLevelType w:val="hybridMultilevel"/>
    <w:tmpl w:val="0C4E8E0E"/>
    <w:lvl w:ilvl="0" w:tplc="08090001">
      <w:start w:val="1"/>
      <w:numFmt w:val="bullet"/>
      <w:lvlText w:val=""/>
      <w:lvlJc w:val="left"/>
      <w:pPr>
        <w:ind w:left="-270" w:hanging="360"/>
      </w:pPr>
      <w:rPr>
        <w:rFonts w:ascii="Symbol" w:hAnsi="Symbol" w:hint="default"/>
      </w:rPr>
    </w:lvl>
    <w:lvl w:ilvl="1" w:tplc="08090003">
      <w:start w:val="1"/>
      <w:numFmt w:val="bullet"/>
      <w:lvlText w:val="o"/>
      <w:lvlJc w:val="left"/>
      <w:pPr>
        <w:ind w:left="450" w:hanging="360"/>
      </w:pPr>
      <w:rPr>
        <w:rFonts w:ascii="Courier New" w:hAnsi="Courier New" w:cs="Courier New" w:hint="default"/>
      </w:rPr>
    </w:lvl>
    <w:lvl w:ilvl="2" w:tplc="08090003">
      <w:start w:val="1"/>
      <w:numFmt w:val="bullet"/>
      <w:lvlText w:val="o"/>
      <w:lvlJc w:val="left"/>
      <w:pPr>
        <w:ind w:left="1170" w:hanging="360"/>
      </w:pPr>
      <w:rPr>
        <w:rFonts w:ascii="Courier New" w:hAnsi="Courier New" w:cs="Courier New" w:hint="default"/>
      </w:rPr>
    </w:lvl>
    <w:lvl w:ilvl="3" w:tplc="08090001" w:tentative="1">
      <w:start w:val="1"/>
      <w:numFmt w:val="bullet"/>
      <w:lvlText w:val=""/>
      <w:lvlJc w:val="left"/>
      <w:pPr>
        <w:ind w:left="1890" w:hanging="360"/>
      </w:pPr>
      <w:rPr>
        <w:rFonts w:ascii="Symbol" w:hAnsi="Symbol" w:hint="default"/>
      </w:rPr>
    </w:lvl>
    <w:lvl w:ilvl="4" w:tplc="08090003" w:tentative="1">
      <w:start w:val="1"/>
      <w:numFmt w:val="bullet"/>
      <w:lvlText w:val="o"/>
      <w:lvlJc w:val="left"/>
      <w:pPr>
        <w:ind w:left="2610" w:hanging="360"/>
      </w:pPr>
      <w:rPr>
        <w:rFonts w:ascii="Courier New" w:hAnsi="Courier New" w:cs="Courier New" w:hint="default"/>
      </w:rPr>
    </w:lvl>
    <w:lvl w:ilvl="5" w:tplc="08090005" w:tentative="1">
      <w:start w:val="1"/>
      <w:numFmt w:val="bullet"/>
      <w:lvlText w:val=""/>
      <w:lvlJc w:val="left"/>
      <w:pPr>
        <w:ind w:left="3330" w:hanging="360"/>
      </w:pPr>
      <w:rPr>
        <w:rFonts w:ascii="Wingdings" w:hAnsi="Wingdings" w:hint="default"/>
      </w:rPr>
    </w:lvl>
    <w:lvl w:ilvl="6" w:tplc="08090001" w:tentative="1">
      <w:start w:val="1"/>
      <w:numFmt w:val="bullet"/>
      <w:lvlText w:val=""/>
      <w:lvlJc w:val="left"/>
      <w:pPr>
        <w:ind w:left="4050" w:hanging="360"/>
      </w:pPr>
      <w:rPr>
        <w:rFonts w:ascii="Symbol" w:hAnsi="Symbol" w:hint="default"/>
      </w:rPr>
    </w:lvl>
    <w:lvl w:ilvl="7" w:tplc="08090003" w:tentative="1">
      <w:start w:val="1"/>
      <w:numFmt w:val="bullet"/>
      <w:lvlText w:val="o"/>
      <w:lvlJc w:val="left"/>
      <w:pPr>
        <w:ind w:left="4770" w:hanging="360"/>
      </w:pPr>
      <w:rPr>
        <w:rFonts w:ascii="Courier New" w:hAnsi="Courier New" w:cs="Courier New" w:hint="default"/>
      </w:rPr>
    </w:lvl>
    <w:lvl w:ilvl="8" w:tplc="08090005" w:tentative="1">
      <w:start w:val="1"/>
      <w:numFmt w:val="bullet"/>
      <w:lvlText w:val=""/>
      <w:lvlJc w:val="left"/>
      <w:pPr>
        <w:ind w:left="5490" w:hanging="360"/>
      </w:pPr>
      <w:rPr>
        <w:rFonts w:ascii="Wingdings" w:hAnsi="Wingdings" w:hint="default"/>
      </w:rPr>
    </w:lvl>
  </w:abstractNum>
  <w:abstractNum w:abstractNumId="10" w15:restartNumberingAfterBreak="0">
    <w:nsid w:val="3BD342B4"/>
    <w:multiLevelType w:val="hybridMultilevel"/>
    <w:tmpl w:val="2B42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607BD7"/>
    <w:multiLevelType w:val="hybridMultilevel"/>
    <w:tmpl w:val="6CF6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17497"/>
    <w:multiLevelType w:val="hybridMultilevel"/>
    <w:tmpl w:val="C576F2A4"/>
    <w:lvl w:ilvl="0" w:tplc="BB36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B78D8"/>
    <w:multiLevelType w:val="hybridMultilevel"/>
    <w:tmpl w:val="7CF64FA0"/>
    <w:lvl w:ilvl="0" w:tplc="08090001">
      <w:start w:val="1"/>
      <w:numFmt w:val="bullet"/>
      <w:lvlText w:val=""/>
      <w:lvlJc w:val="left"/>
      <w:pPr>
        <w:ind w:left="-270" w:hanging="360"/>
      </w:pPr>
      <w:rPr>
        <w:rFonts w:ascii="Symbol" w:hAnsi="Symbol" w:hint="default"/>
      </w:rPr>
    </w:lvl>
    <w:lvl w:ilvl="1" w:tplc="08090003">
      <w:start w:val="1"/>
      <w:numFmt w:val="bullet"/>
      <w:lvlText w:val="o"/>
      <w:lvlJc w:val="left"/>
      <w:pPr>
        <w:ind w:left="450" w:hanging="360"/>
      </w:pPr>
      <w:rPr>
        <w:rFonts w:ascii="Courier New" w:hAnsi="Courier New" w:cs="Courier New" w:hint="default"/>
      </w:rPr>
    </w:lvl>
    <w:lvl w:ilvl="2" w:tplc="08090003">
      <w:start w:val="1"/>
      <w:numFmt w:val="bullet"/>
      <w:lvlText w:val="o"/>
      <w:lvlJc w:val="left"/>
      <w:pPr>
        <w:ind w:left="1170" w:hanging="360"/>
      </w:pPr>
      <w:rPr>
        <w:rFonts w:ascii="Courier New" w:hAnsi="Courier New" w:cs="Courier New" w:hint="default"/>
      </w:rPr>
    </w:lvl>
    <w:lvl w:ilvl="3" w:tplc="08090001">
      <w:start w:val="1"/>
      <w:numFmt w:val="bullet"/>
      <w:lvlText w:val=""/>
      <w:lvlJc w:val="left"/>
      <w:pPr>
        <w:ind w:left="1890" w:hanging="360"/>
      </w:pPr>
      <w:rPr>
        <w:rFonts w:ascii="Symbol" w:hAnsi="Symbol" w:hint="default"/>
      </w:rPr>
    </w:lvl>
    <w:lvl w:ilvl="4" w:tplc="08090003" w:tentative="1">
      <w:start w:val="1"/>
      <w:numFmt w:val="bullet"/>
      <w:lvlText w:val="o"/>
      <w:lvlJc w:val="left"/>
      <w:pPr>
        <w:ind w:left="2610" w:hanging="360"/>
      </w:pPr>
      <w:rPr>
        <w:rFonts w:ascii="Courier New" w:hAnsi="Courier New" w:cs="Courier New" w:hint="default"/>
      </w:rPr>
    </w:lvl>
    <w:lvl w:ilvl="5" w:tplc="08090005" w:tentative="1">
      <w:start w:val="1"/>
      <w:numFmt w:val="bullet"/>
      <w:lvlText w:val=""/>
      <w:lvlJc w:val="left"/>
      <w:pPr>
        <w:ind w:left="3330" w:hanging="360"/>
      </w:pPr>
      <w:rPr>
        <w:rFonts w:ascii="Wingdings" w:hAnsi="Wingdings" w:hint="default"/>
      </w:rPr>
    </w:lvl>
    <w:lvl w:ilvl="6" w:tplc="08090001" w:tentative="1">
      <w:start w:val="1"/>
      <w:numFmt w:val="bullet"/>
      <w:lvlText w:val=""/>
      <w:lvlJc w:val="left"/>
      <w:pPr>
        <w:ind w:left="4050" w:hanging="360"/>
      </w:pPr>
      <w:rPr>
        <w:rFonts w:ascii="Symbol" w:hAnsi="Symbol" w:hint="default"/>
      </w:rPr>
    </w:lvl>
    <w:lvl w:ilvl="7" w:tplc="08090003" w:tentative="1">
      <w:start w:val="1"/>
      <w:numFmt w:val="bullet"/>
      <w:lvlText w:val="o"/>
      <w:lvlJc w:val="left"/>
      <w:pPr>
        <w:ind w:left="4770" w:hanging="360"/>
      </w:pPr>
      <w:rPr>
        <w:rFonts w:ascii="Courier New" w:hAnsi="Courier New" w:cs="Courier New" w:hint="default"/>
      </w:rPr>
    </w:lvl>
    <w:lvl w:ilvl="8" w:tplc="08090005" w:tentative="1">
      <w:start w:val="1"/>
      <w:numFmt w:val="bullet"/>
      <w:lvlText w:val=""/>
      <w:lvlJc w:val="left"/>
      <w:pPr>
        <w:ind w:left="5490" w:hanging="360"/>
      </w:pPr>
      <w:rPr>
        <w:rFonts w:ascii="Wingdings" w:hAnsi="Wingdings" w:hint="default"/>
      </w:rPr>
    </w:lvl>
  </w:abstractNum>
  <w:abstractNum w:abstractNumId="14" w15:restartNumberingAfterBreak="0">
    <w:nsid w:val="5B8C4CAC"/>
    <w:multiLevelType w:val="hybridMultilevel"/>
    <w:tmpl w:val="44B2C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C5033A"/>
    <w:multiLevelType w:val="hybridMultilevel"/>
    <w:tmpl w:val="067C3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1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A932A0"/>
    <w:multiLevelType w:val="hybridMultilevel"/>
    <w:tmpl w:val="D408D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9200C7E"/>
    <w:multiLevelType w:val="hybridMultilevel"/>
    <w:tmpl w:val="685063B0"/>
    <w:lvl w:ilvl="0" w:tplc="D97C1732">
      <w:start w:val="1"/>
      <w:numFmt w:val="lowerLetter"/>
      <w:lvlText w:val="%1."/>
      <w:lvlJc w:val="left"/>
      <w:pPr>
        <w:ind w:left="1080" w:hanging="360"/>
      </w:pPr>
      <w:rPr>
        <w:rFonts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5137667">
    <w:abstractNumId w:val="3"/>
  </w:num>
  <w:num w:numId="2" w16cid:durableId="2031026232">
    <w:abstractNumId w:val="5"/>
  </w:num>
  <w:num w:numId="3" w16cid:durableId="369457668">
    <w:abstractNumId w:val="17"/>
  </w:num>
  <w:num w:numId="4" w16cid:durableId="1792213021">
    <w:abstractNumId w:val="7"/>
  </w:num>
  <w:num w:numId="5" w16cid:durableId="1601135505">
    <w:abstractNumId w:val="16"/>
  </w:num>
  <w:num w:numId="6" w16cid:durableId="1888494290">
    <w:abstractNumId w:val="14"/>
  </w:num>
  <w:num w:numId="7" w16cid:durableId="441070188">
    <w:abstractNumId w:val="15"/>
  </w:num>
  <w:num w:numId="8" w16cid:durableId="82068580">
    <w:abstractNumId w:val="8"/>
  </w:num>
  <w:num w:numId="9" w16cid:durableId="2026401902">
    <w:abstractNumId w:val="11"/>
  </w:num>
  <w:num w:numId="10" w16cid:durableId="2013337275">
    <w:abstractNumId w:val="1"/>
  </w:num>
  <w:num w:numId="11" w16cid:durableId="1112629685">
    <w:abstractNumId w:val="9"/>
  </w:num>
  <w:num w:numId="12" w16cid:durableId="911547898">
    <w:abstractNumId w:val="13"/>
  </w:num>
  <w:num w:numId="13" w16cid:durableId="1067873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4265343">
    <w:abstractNumId w:val="10"/>
  </w:num>
  <w:num w:numId="15" w16cid:durableId="717357808">
    <w:abstractNumId w:val="2"/>
  </w:num>
  <w:num w:numId="16" w16cid:durableId="1060595790">
    <w:abstractNumId w:val="6"/>
  </w:num>
  <w:num w:numId="17" w16cid:durableId="89401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4048323">
    <w:abstractNumId w:val="10"/>
  </w:num>
  <w:num w:numId="19" w16cid:durableId="1621914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7B"/>
    <w:rsid w:val="00006AAD"/>
    <w:rsid w:val="0001093A"/>
    <w:rsid w:val="00012C2C"/>
    <w:rsid w:val="0001379E"/>
    <w:rsid w:val="0001789B"/>
    <w:rsid w:val="000236E2"/>
    <w:rsid w:val="000844DA"/>
    <w:rsid w:val="000A0875"/>
    <w:rsid w:val="000A6BC7"/>
    <w:rsid w:val="000B2A3E"/>
    <w:rsid w:val="000B7213"/>
    <w:rsid w:val="000D1138"/>
    <w:rsid w:val="000D1A02"/>
    <w:rsid w:val="000D737B"/>
    <w:rsid w:val="000E45D9"/>
    <w:rsid w:val="000F6ECD"/>
    <w:rsid w:val="00100E05"/>
    <w:rsid w:val="0010153A"/>
    <w:rsid w:val="00103708"/>
    <w:rsid w:val="00103A50"/>
    <w:rsid w:val="0011058F"/>
    <w:rsid w:val="00134545"/>
    <w:rsid w:val="00141F88"/>
    <w:rsid w:val="001510F0"/>
    <w:rsid w:val="00151F31"/>
    <w:rsid w:val="001523F5"/>
    <w:rsid w:val="00156A84"/>
    <w:rsid w:val="001609E9"/>
    <w:rsid w:val="00161C63"/>
    <w:rsid w:val="0016343A"/>
    <w:rsid w:val="0017177B"/>
    <w:rsid w:val="00177D8F"/>
    <w:rsid w:val="00184B84"/>
    <w:rsid w:val="00193392"/>
    <w:rsid w:val="0019442C"/>
    <w:rsid w:val="00195C3A"/>
    <w:rsid w:val="001A1CF3"/>
    <w:rsid w:val="001B1C7E"/>
    <w:rsid w:val="001B52DA"/>
    <w:rsid w:val="001B55D3"/>
    <w:rsid w:val="001C1143"/>
    <w:rsid w:val="001C3F09"/>
    <w:rsid w:val="001D6A5D"/>
    <w:rsid w:val="001E341A"/>
    <w:rsid w:val="001E75F4"/>
    <w:rsid w:val="001F19C8"/>
    <w:rsid w:val="001F32E5"/>
    <w:rsid w:val="001F3E32"/>
    <w:rsid w:val="002008FD"/>
    <w:rsid w:val="00201F7A"/>
    <w:rsid w:val="00204CF4"/>
    <w:rsid w:val="0022057D"/>
    <w:rsid w:val="0022691E"/>
    <w:rsid w:val="00233399"/>
    <w:rsid w:val="00236B96"/>
    <w:rsid w:val="002445D6"/>
    <w:rsid w:val="00260E35"/>
    <w:rsid w:val="00265A2B"/>
    <w:rsid w:val="00271559"/>
    <w:rsid w:val="00273BCF"/>
    <w:rsid w:val="00275E9F"/>
    <w:rsid w:val="00283210"/>
    <w:rsid w:val="002B09BE"/>
    <w:rsid w:val="002B4DE6"/>
    <w:rsid w:val="002C1716"/>
    <w:rsid w:val="002E2286"/>
    <w:rsid w:val="002F19DB"/>
    <w:rsid w:val="002F72D1"/>
    <w:rsid w:val="00301031"/>
    <w:rsid w:val="0031457F"/>
    <w:rsid w:val="003168A7"/>
    <w:rsid w:val="00321028"/>
    <w:rsid w:val="00324AC7"/>
    <w:rsid w:val="003258CB"/>
    <w:rsid w:val="00335393"/>
    <w:rsid w:val="0034229D"/>
    <w:rsid w:val="00352496"/>
    <w:rsid w:val="003527A4"/>
    <w:rsid w:val="003570D1"/>
    <w:rsid w:val="00357173"/>
    <w:rsid w:val="00357A0F"/>
    <w:rsid w:val="00360AAE"/>
    <w:rsid w:val="0036414F"/>
    <w:rsid w:val="00365313"/>
    <w:rsid w:val="00366358"/>
    <w:rsid w:val="00367FA3"/>
    <w:rsid w:val="003A0C5B"/>
    <w:rsid w:val="003A137B"/>
    <w:rsid w:val="003A60C9"/>
    <w:rsid w:val="003B62C8"/>
    <w:rsid w:val="003C1CCC"/>
    <w:rsid w:val="003F5883"/>
    <w:rsid w:val="003F7B98"/>
    <w:rsid w:val="00420D86"/>
    <w:rsid w:val="00425C0A"/>
    <w:rsid w:val="00434E75"/>
    <w:rsid w:val="0044088B"/>
    <w:rsid w:val="00442C58"/>
    <w:rsid w:val="00446B29"/>
    <w:rsid w:val="0046739E"/>
    <w:rsid w:val="0046764E"/>
    <w:rsid w:val="004710DF"/>
    <w:rsid w:val="004934A9"/>
    <w:rsid w:val="004A6B02"/>
    <w:rsid w:val="004A796A"/>
    <w:rsid w:val="004C2466"/>
    <w:rsid w:val="004E02C4"/>
    <w:rsid w:val="004E4072"/>
    <w:rsid w:val="004E73B6"/>
    <w:rsid w:val="00501273"/>
    <w:rsid w:val="00501815"/>
    <w:rsid w:val="005064B5"/>
    <w:rsid w:val="00511BF6"/>
    <w:rsid w:val="00513157"/>
    <w:rsid w:val="00542F57"/>
    <w:rsid w:val="005473D5"/>
    <w:rsid w:val="00554016"/>
    <w:rsid w:val="00560FE6"/>
    <w:rsid w:val="00583BC0"/>
    <w:rsid w:val="00596B47"/>
    <w:rsid w:val="005A0E54"/>
    <w:rsid w:val="005A45F1"/>
    <w:rsid w:val="005B471D"/>
    <w:rsid w:val="005B7E18"/>
    <w:rsid w:val="005E0212"/>
    <w:rsid w:val="005E3947"/>
    <w:rsid w:val="005F0C38"/>
    <w:rsid w:val="005F107F"/>
    <w:rsid w:val="005F122A"/>
    <w:rsid w:val="005F37BB"/>
    <w:rsid w:val="00602F3C"/>
    <w:rsid w:val="00615872"/>
    <w:rsid w:val="00622F35"/>
    <w:rsid w:val="006340F7"/>
    <w:rsid w:val="00641676"/>
    <w:rsid w:val="00641A3A"/>
    <w:rsid w:val="00641B20"/>
    <w:rsid w:val="0065598C"/>
    <w:rsid w:val="00657C86"/>
    <w:rsid w:val="006617DF"/>
    <w:rsid w:val="00661A9A"/>
    <w:rsid w:val="00672545"/>
    <w:rsid w:val="00680B76"/>
    <w:rsid w:val="0069126C"/>
    <w:rsid w:val="006B4E1A"/>
    <w:rsid w:val="006B7863"/>
    <w:rsid w:val="006C358B"/>
    <w:rsid w:val="006D0306"/>
    <w:rsid w:val="006E14C9"/>
    <w:rsid w:val="006E23F8"/>
    <w:rsid w:val="006F6865"/>
    <w:rsid w:val="007114D4"/>
    <w:rsid w:val="00716E3C"/>
    <w:rsid w:val="007479DE"/>
    <w:rsid w:val="00752D3C"/>
    <w:rsid w:val="007538C6"/>
    <w:rsid w:val="00761D7A"/>
    <w:rsid w:val="00767963"/>
    <w:rsid w:val="0077722D"/>
    <w:rsid w:val="00781AA9"/>
    <w:rsid w:val="00790A98"/>
    <w:rsid w:val="007912B1"/>
    <w:rsid w:val="007A069A"/>
    <w:rsid w:val="007A3AA4"/>
    <w:rsid w:val="007A5D49"/>
    <w:rsid w:val="007B535A"/>
    <w:rsid w:val="007B5AA0"/>
    <w:rsid w:val="007C01BC"/>
    <w:rsid w:val="007C2450"/>
    <w:rsid w:val="007D096D"/>
    <w:rsid w:val="007D619C"/>
    <w:rsid w:val="007E3582"/>
    <w:rsid w:val="00802F83"/>
    <w:rsid w:val="00813B69"/>
    <w:rsid w:val="00822FB3"/>
    <w:rsid w:val="00827AD9"/>
    <w:rsid w:val="00830E5C"/>
    <w:rsid w:val="00834577"/>
    <w:rsid w:val="00836A58"/>
    <w:rsid w:val="00844D24"/>
    <w:rsid w:val="00863695"/>
    <w:rsid w:val="008724F2"/>
    <w:rsid w:val="00874C2A"/>
    <w:rsid w:val="00884931"/>
    <w:rsid w:val="0088680C"/>
    <w:rsid w:val="008A4849"/>
    <w:rsid w:val="008A5B38"/>
    <w:rsid w:val="008A5D0A"/>
    <w:rsid w:val="008A7CB5"/>
    <w:rsid w:val="008B2B2C"/>
    <w:rsid w:val="008B3942"/>
    <w:rsid w:val="008C7817"/>
    <w:rsid w:val="008D2A4F"/>
    <w:rsid w:val="008F2C22"/>
    <w:rsid w:val="008F6202"/>
    <w:rsid w:val="00905660"/>
    <w:rsid w:val="00907E7F"/>
    <w:rsid w:val="0092073F"/>
    <w:rsid w:val="00953C0E"/>
    <w:rsid w:val="00961FA4"/>
    <w:rsid w:val="00965FEC"/>
    <w:rsid w:val="00975FE6"/>
    <w:rsid w:val="009760DF"/>
    <w:rsid w:val="00983A0E"/>
    <w:rsid w:val="00986868"/>
    <w:rsid w:val="009961B8"/>
    <w:rsid w:val="009A5FE4"/>
    <w:rsid w:val="009B4108"/>
    <w:rsid w:val="009B6141"/>
    <w:rsid w:val="009B6ECD"/>
    <w:rsid w:val="009C146F"/>
    <w:rsid w:val="009C2DC1"/>
    <w:rsid w:val="009C46D0"/>
    <w:rsid w:val="009C557C"/>
    <w:rsid w:val="009D0C9E"/>
    <w:rsid w:val="009D106D"/>
    <w:rsid w:val="009D1B1A"/>
    <w:rsid w:val="009D4A7D"/>
    <w:rsid w:val="009E3AF3"/>
    <w:rsid w:val="009F1B4A"/>
    <w:rsid w:val="009F5750"/>
    <w:rsid w:val="00A27FF3"/>
    <w:rsid w:val="00A36357"/>
    <w:rsid w:val="00A42090"/>
    <w:rsid w:val="00A43454"/>
    <w:rsid w:val="00A439CC"/>
    <w:rsid w:val="00A627C9"/>
    <w:rsid w:val="00A65891"/>
    <w:rsid w:val="00A8283F"/>
    <w:rsid w:val="00A86350"/>
    <w:rsid w:val="00A95A8A"/>
    <w:rsid w:val="00AA0F4B"/>
    <w:rsid w:val="00AA3955"/>
    <w:rsid w:val="00AA4790"/>
    <w:rsid w:val="00AB0F65"/>
    <w:rsid w:val="00AB38AF"/>
    <w:rsid w:val="00AC2DE5"/>
    <w:rsid w:val="00AC3E0F"/>
    <w:rsid w:val="00AD6D40"/>
    <w:rsid w:val="00AD74F1"/>
    <w:rsid w:val="00B13D2E"/>
    <w:rsid w:val="00B228F5"/>
    <w:rsid w:val="00B320DA"/>
    <w:rsid w:val="00B4520B"/>
    <w:rsid w:val="00B46725"/>
    <w:rsid w:val="00B47581"/>
    <w:rsid w:val="00B50394"/>
    <w:rsid w:val="00B564BF"/>
    <w:rsid w:val="00B57AF1"/>
    <w:rsid w:val="00B6476B"/>
    <w:rsid w:val="00B65D5D"/>
    <w:rsid w:val="00B7046D"/>
    <w:rsid w:val="00B72833"/>
    <w:rsid w:val="00B729E7"/>
    <w:rsid w:val="00B83DC1"/>
    <w:rsid w:val="00B85022"/>
    <w:rsid w:val="00B8736C"/>
    <w:rsid w:val="00B91F4B"/>
    <w:rsid w:val="00B9226F"/>
    <w:rsid w:val="00BA21E5"/>
    <w:rsid w:val="00BA47A7"/>
    <w:rsid w:val="00BB4DFE"/>
    <w:rsid w:val="00BB5CAA"/>
    <w:rsid w:val="00BC6657"/>
    <w:rsid w:val="00BD3519"/>
    <w:rsid w:val="00BD3C81"/>
    <w:rsid w:val="00BF53D7"/>
    <w:rsid w:val="00BF5EB5"/>
    <w:rsid w:val="00C0223F"/>
    <w:rsid w:val="00C0646A"/>
    <w:rsid w:val="00C12A7E"/>
    <w:rsid w:val="00C12F9B"/>
    <w:rsid w:val="00C23DFA"/>
    <w:rsid w:val="00C32386"/>
    <w:rsid w:val="00C34B1A"/>
    <w:rsid w:val="00C35B7D"/>
    <w:rsid w:val="00C36E2B"/>
    <w:rsid w:val="00C40027"/>
    <w:rsid w:val="00C424A0"/>
    <w:rsid w:val="00C47138"/>
    <w:rsid w:val="00C53BE7"/>
    <w:rsid w:val="00C63AFB"/>
    <w:rsid w:val="00C70CF6"/>
    <w:rsid w:val="00C71351"/>
    <w:rsid w:val="00C74A7D"/>
    <w:rsid w:val="00C9062A"/>
    <w:rsid w:val="00C90CC6"/>
    <w:rsid w:val="00C967D3"/>
    <w:rsid w:val="00CB0CC6"/>
    <w:rsid w:val="00CC6056"/>
    <w:rsid w:val="00CD4170"/>
    <w:rsid w:val="00CE78A5"/>
    <w:rsid w:val="00CF0944"/>
    <w:rsid w:val="00CF223F"/>
    <w:rsid w:val="00CF6D9B"/>
    <w:rsid w:val="00D130C9"/>
    <w:rsid w:val="00D353A0"/>
    <w:rsid w:val="00D40382"/>
    <w:rsid w:val="00D54555"/>
    <w:rsid w:val="00D563C6"/>
    <w:rsid w:val="00D60A68"/>
    <w:rsid w:val="00D96279"/>
    <w:rsid w:val="00DA2287"/>
    <w:rsid w:val="00DA76C7"/>
    <w:rsid w:val="00DB5260"/>
    <w:rsid w:val="00DB5CC9"/>
    <w:rsid w:val="00DB6E44"/>
    <w:rsid w:val="00E01B18"/>
    <w:rsid w:val="00E05874"/>
    <w:rsid w:val="00E306D5"/>
    <w:rsid w:val="00E310A2"/>
    <w:rsid w:val="00E40335"/>
    <w:rsid w:val="00E53084"/>
    <w:rsid w:val="00E64150"/>
    <w:rsid w:val="00E64B8E"/>
    <w:rsid w:val="00E66BEE"/>
    <w:rsid w:val="00E73064"/>
    <w:rsid w:val="00E757A9"/>
    <w:rsid w:val="00E76D37"/>
    <w:rsid w:val="00E835E6"/>
    <w:rsid w:val="00E87EFE"/>
    <w:rsid w:val="00E90DF3"/>
    <w:rsid w:val="00E927DC"/>
    <w:rsid w:val="00E97238"/>
    <w:rsid w:val="00EA0051"/>
    <w:rsid w:val="00EC0532"/>
    <w:rsid w:val="00EC692A"/>
    <w:rsid w:val="00EE1DE9"/>
    <w:rsid w:val="00EE3557"/>
    <w:rsid w:val="00EE5B7B"/>
    <w:rsid w:val="00EF2107"/>
    <w:rsid w:val="00EF7DD2"/>
    <w:rsid w:val="00F04B91"/>
    <w:rsid w:val="00F150DA"/>
    <w:rsid w:val="00F218F8"/>
    <w:rsid w:val="00F25675"/>
    <w:rsid w:val="00F25B5C"/>
    <w:rsid w:val="00F30A50"/>
    <w:rsid w:val="00F53023"/>
    <w:rsid w:val="00F66408"/>
    <w:rsid w:val="00F7671F"/>
    <w:rsid w:val="00F84147"/>
    <w:rsid w:val="00FB0DBC"/>
    <w:rsid w:val="00FC563C"/>
    <w:rsid w:val="00FE1D11"/>
    <w:rsid w:val="00FF5FFE"/>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185A"/>
  <w15:chartTrackingRefBased/>
  <w15:docId w15:val="{42AD62D5-82E4-4341-8B40-E92672E7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5C"/>
    <w:rPr>
      <w:rFonts w:ascii="Verdana" w:hAnsi="Verdana"/>
      <w:sz w:val="24"/>
    </w:rPr>
  </w:style>
  <w:style w:type="paragraph" w:styleId="Ttulo2">
    <w:name w:val="heading 2"/>
    <w:basedOn w:val="Normal"/>
    <w:next w:val="Normal"/>
    <w:link w:val="Ttulo2Car"/>
    <w:uiPriority w:val="9"/>
    <w:unhideWhenUsed/>
    <w:qFormat/>
    <w:rsid w:val="00BA4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27DC"/>
    <w:rPr>
      <w:rFonts w:ascii="Verdana" w:hAnsi="Verdana"/>
      <w:strike w:val="0"/>
      <w:dstrike w:val="0"/>
      <w:color w:val="0563C1"/>
      <w:sz w:val="17"/>
      <w:szCs w:val="17"/>
      <w:u w:val="single"/>
      <w:effect w:val="none"/>
    </w:rPr>
  </w:style>
  <w:style w:type="paragraph" w:styleId="Encabezado">
    <w:name w:val="header"/>
    <w:basedOn w:val="Normal"/>
    <w:link w:val="EncabezadoCar"/>
    <w:uiPriority w:val="99"/>
    <w:unhideWhenUsed/>
    <w:rsid w:val="0036635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66358"/>
    <w:rPr>
      <w:rFonts w:ascii="Verdana" w:hAnsi="Verdana"/>
      <w:sz w:val="24"/>
    </w:rPr>
  </w:style>
  <w:style w:type="paragraph" w:styleId="Piedepgina">
    <w:name w:val="footer"/>
    <w:basedOn w:val="Normal"/>
    <w:link w:val="PiedepginaCar"/>
    <w:uiPriority w:val="99"/>
    <w:unhideWhenUsed/>
    <w:rsid w:val="0036635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66358"/>
    <w:rPr>
      <w:rFonts w:ascii="Verdana" w:hAnsi="Verdana"/>
      <w:sz w:val="24"/>
    </w:rPr>
  </w:style>
  <w:style w:type="paragraph" w:styleId="Prrafodelista">
    <w:name w:val="List Paragraph"/>
    <w:basedOn w:val="Normal"/>
    <w:uiPriority w:val="34"/>
    <w:qFormat/>
    <w:rsid w:val="00554016"/>
    <w:pPr>
      <w:ind w:left="720"/>
      <w:contextualSpacing/>
    </w:pPr>
  </w:style>
  <w:style w:type="paragraph" w:styleId="Textonotapie">
    <w:name w:val="footnote text"/>
    <w:basedOn w:val="Normal"/>
    <w:link w:val="TextonotapieCar"/>
    <w:uiPriority w:val="99"/>
    <w:semiHidden/>
    <w:unhideWhenUsed/>
    <w:rsid w:val="002B4D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4DE6"/>
    <w:rPr>
      <w:rFonts w:ascii="Verdana" w:hAnsi="Verdana"/>
      <w:sz w:val="20"/>
      <w:szCs w:val="20"/>
    </w:rPr>
  </w:style>
  <w:style w:type="character" w:styleId="Refdenotaalpie">
    <w:name w:val="footnote reference"/>
    <w:basedOn w:val="Fuentedeprrafopredeter"/>
    <w:uiPriority w:val="99"/>
    <w:semiHidden/>
    <w:unhideWhenUsed/>
    <w:rsid w:val="002B4DE6"/>
    <w:rPr>
      <w:vertAlign w:val="superscript"/>
    </w:rPr>
  </w:style>
  <w:style w:type="character" w:customStyle="1" w:styleId="Ttulo2Car">
    <w:name w:val="Título 2 Car"/>
    <w:basedOn w:val="Fuentedeprrafopredeter"/>
    <w:link w:val="Ttulo2"/>
    <w:uiPriority w:val="9"/>
    <w:rsid w:val="00BA47A7"/>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36414F"/>
    <w:rPr>
      <w:sz w:val="16"/>
      <w:szCs w:val="16"/>
    </w:rPr>
  </w:style>
  <w:style w:type="paragraph" w:styleId="Textocomentario">
    <w:name w:val="annotation text"/>
    <w:basedOn w:val="Normal"/>
    <w:link w:val="TextocomentarioCar"/>
    <w:uiPriority w:val="99"/>
    <w:unhideWhenUsed/>
    <w:rsid w:val="0036414F"/>
    <w:pPr>
      <w:spacing w:line="240" w:lineRule="auto"/>
    </w:pPr>
    <w:rPr>
      <w:sz w:val="20"/>
      <w:szCs w:val="20"/>
    </w:rPr>
  </w:style>
  <w:style w:type="character" w:customStyle="1" w:styleId="TextocomentarioCar">
    <w:name w:val="Texto comentario Car"/>
    <w:basedOn w:val="Fuentedeprrafopredeter"/>
    <w:link w:val="Textocomentario"/>
    <w:uiPriority w:val="99"/>
    <w:rsid w:val="0036414F"/>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36414F"/>
    <w:rPr>
      <w:b/>
      <w:bCs/>
    </w:rPr>
  </w:style>
  <w:style w:type="character" w:customStyle="1" w:styleId="AsuntodelcomentarioCar">
    <w:name w:val="Asunto del comentario Car"/>
    <w:basedOn w:val="TextocomentarioCar"/>
    <w:link w:val="Asuntodelcomentario"/>
    <w:uiPriority w:val="99"/>
    <w:semiHidden/>
    <w:rsid w:val="0036414F"/>
    <w:rPr>
      <w:rFonts w:ascii="Verdana" w:hAnsi="Verdana"/>
      <w:b/>
      <w:bCs/>
      <w:sz w:val="20"/>
      <w:szCs w:val="20"/>
    </w:rPr>
  </w:style>
  <w:style w:type="table" w:styleId="Tablaconcuadrcula">
    <w:name w:val="Table Grid"/>
    <w:basedOn w:val="Tablanormal"/>
    <w:uiPriority w:val="39"/>
    <w:rsid w:val="0001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C2450"/>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3023">
      <w:bodyDiv w:val="1"/>
      <w:marLeft w:val="0"/>
      <w:marRight w:val="0"/>
      <w:marTop w:val="0"/>
      <w:marBottom w:val="0"/>
      <w:divBdr>
        <w:top w:val="none" w:sz="0" w:space="0" w:color="auto"/>
        <w:left w:val="none" w:sz="0" w:space="0" w:color="auto"/>
        <w:bottom w:val="none" w:sz="0" w:space="0" w:color="auto"/>
        <w:right w:val="none" w:sz="0" w:space="0" w:color="auto"/>
      </w:divBdr>
    </w:div>
    <w:div w:id="146479040">
      <w:bodyDiv w:val="1"/>
      <w:marLeft w:val="0"/>
      <w:marRight w:val="0"/>
      <w:marTop w:val="0"/>
      <w:marBottom w:val="0"/>
      <w:divBdr>
        <w:top w:val="none" w:sz="0" w:space="0" w:color="auto"/>
        <w:left w:val="none" w:sz="0" w:space="0" w:color="auto"/>
        <w:bottom w:val="none" w:sz="0" w:space="0" w:color="auto"/>
        <w:right w:val="none" w:sz="0" w:space="0" w:color="auto"/>
      </w:divBdr>
    </w:div>
    <w:div w:id="172382810">
      <w:bodyDiv w:val="1"/>
      <w:marLeft w:val="0"/>
      <w:marRight w:val="0"/>
      <w:marTop w:val="0"/>
      <w:marBottom w:val="0"/>
      <w:divBdr>
        <w:top w:val="none" w:sz="0" w:space="0" w:color="auto"/>
        <w:left w:val="none" w:sz="0" w:space="0" w:color="auto"/>
        <w:bottom w:val="none" w:sz="0" w:space="0" w:color="auto"/>
        <w:right w:val="none" w:sz="0" w:space="0" w:color="auto"/>
      </w:divBdr>
    </w:div>
    <w:div w:id="197789829">
      <w:bodyDiv w:val="1"/>
      <w:marLeft w:val="0"/>
      <w:marRight w:val="0"/>
      <w:marTop w:val="0"/>
      <w:marBottom w:val="0"/>
      <w:divBdr>
        <w:top w:val="none" w:sz="0" w:space="0" w:color="auto"/>
        <w:left w:val="none" w:sz="0" w:space="0" w:color="auto"/>
        <w:bottom w:val="none" w:sz="0" w:space="0" w:color="auto"/>
        <w:right w:val="none" w:sz="0" w:space="0" w:color="auto"/>
      </w:divBdr>
    </w:div>
    <w:div w:id="444465593">
      <w:bodyDiv w:val="1"/>
      <w:marLeft w:val="0"/>
      <w:marRight w:val="0"/>
      <w:marTop w:val="0"/>
      <w:marBottom w:val="0"/>
      <w:divBdr>
        <w:top w:val="none" w:sz="0" w:space="0" w:color="auto"/>
        <w:left w:val="none" w:sz="0" w:space="0" w:color="auto"/>
        <w:bottom w:val="none" w:sz="0" w:space="0" w:color="auto"/>
        <w:right w:val="none" w:sz="0" w:space="0" w:color="auto"/>
      </w:divBdr>
    </w:div>
    <w:div w:id="466507917">
      <w:bodyDiv w:val="1"/>
      <w:marLeft w:val="0"/>
      <w:marRight w:val="0"/>
      <w:marTop w:val="0"/>
      <w:marBottom w:val="0"/>
      <w:divBdr>
        <w:top w:val="none" w:sz="0" w:space="0" w:color="auto"/>
        <w:left w:val="none" w:sz="0" w:space="0" w:color="auto"/>
        <w:bottom w:val="none" w:sz="0" w:space="0" w:color="auto"/>
        <w:right w:val="none" w:sz="0" w:space="0" w:color="auto"/>
      </w:divBdr>
    </w:div>
    <w:div w:id="505443205">
      <w:bodyDiv w:val="1"/>
      <w:marLeft w:val="0"/>
      <w:marRight w:val="0"/>
      <w:marTop w:val="0"/>
      <w:marBottom w:val="0"/>
      <w:divBdr>
        <w:top w:val="none" w:sz="0" w:space="0" w:color="auto"/>
        <w:left w:val="none" w:sz="0" w:space="0" w:color="auto"/>
        <w:bottom w:val="none" w:sz="0" w:space="0" w:color="auto"/>
        <w:right w:val="none" w:sz="0" w:space="0" w:color="auto"/>
      </w:divBdr>
    </w:div>
    <w:div w:id="540098511">
      <w:bodyDiv w:val="1"/>
      <w:marLeft w:val="0"/>
      <w:marRight w:val="0"/>
      <w:marTop w:val="0"/>
      <w:marBottom w:val="0"/>
      <w:divBdr>
        <w:top w:val="none" w:sz="0" w:space="0" w:color="auto"/>
        <w:left w:val="none" w:sz="0" w:space="0" w:color="auto"/>
        <w:bottom w:val="none" w:sz="0" w:space="0" w:color="auto"/>
        <w:right w:val="none" w:sz="0" w:space="0" w:color="auto"/>
      </w:divBdr>
    </w:div>
    <w:div w:id="675570282">
      <w:bodyDiv w:val="1"/>
      <w:marLeft w:val="0"/>
      <w:marRight w:val="0"/>
      <w:marTop w:val="0"/>
      <w:marBottom w:val="0"/>
      <w:divBdr>
        <w:top w:val="none" w:sz="0" w:space="0" w:color="auto"/>
        <w:left w:val="none" w:sz="0" w:space="0" w:color="auto"/>
        <w:bottom w:val="none" w:sz="0" w:space="0" w:color="auto"/>
        <w:right w:val="none" w:sz="0" w:space="0" w:color="auto"/>
      </w:divBdr>
    </w:div>
    <w:div w:id="840654881">
      <w:bodyDiv w:val="1"/>
      <w:marLeft w:val="0"/>
      <w:marRight w:val="0"/>
      <w:marTop w:val="0"/>
      <w:marBottom w:val="0"/>
      <w:divBdr>
        <w:top w:val="none" w:sz="0" w:space="0" w:color="auto"/>
        <w:left w:val="none" w:sz="0" w:space="0" w:color="auto"/>
        <w:bottom w:val="none" w:sz="0" w:space="0" w:color="auto"/>
        <w:right w:val="none" w:sz="0" w:space="0" w:color="auto"/>
      </w:divBdr>
    </w:div>
    <w:div w:id="883446448">
      <w:bodyDiv w:val="1"/>
      <w:marLeft w:val="0"/>
      <w:marRight w:val="0"/>
      <w:marTop w:val="0"/>
      <w:marBottom w:val="0"/>
      <w:divBdr>
        <w:top w:val="none" w:sz="0" w:space="0" w:color="auto"/>
        <w:left w:val="none" w:sz="0" w:space="0" w:color="auto"/>
        <w:bottom w:val="none" w:sz="0" w:space="0" w:color="auto"/>
        <w:right w:val="none" w:sz="0" w:space="0" w:color="auto"/>
      </w:divBdr>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64578365">
      <w:bodyDiv w:val="1"/>
      <w:marLeft w:val="0"/>
      <w:marRight w:val="0"/>
      <w:marTop w:val="0"/>
      <w:marBottom w:val="0"/>
      <w:divBdr>
        <w:top w:val="none" w:sz="0" w:space="0" w:color="auto"/>
        <w:left w:val="none" w:sz="0" w:space="0" w:color="auto"/>
        <w:bottom w:val="none" w:sz="0" w:space="0" w:color="auto"/>
        <w:right w:val="none" w:sz="0" w:space="0" w:color="auto"/>
      </w:divBdr>
    </w:div>
    <w:div w:id="1006597738">
      <w:bodyDiv w:val="1"/>
      <w:marLeft w:val="0"/>
      <w:marRight w:val="0"/>
      <w:marTop w:val="0"/>
      <w:marBottom w:val="0"/>
      <w:divBdr>
        <w:top w:val="none" w:sz="0" w:space="0" w:color="auto"/>
        <w:left w:val="none" w:sz="0" w:space="0" w:color="auto"/>
        <w:bottom w:val="none" w:sz="0" w:space="0" w:color="auto"/>
        <w:right w:val="none" w:sz="0" w:space="0" w:color="auto"/>
      </w:divBdr>
    </w:div>
    <w:div w:id="1076167331">
      <w:bodyDiv w:val="1"/>
      <w:marLeft w:val="0"/>
      <w:marRight w:val="0"/>
      <w:marTop w:val="0"/>
      <w:marBottom w:val="0"/>
      <w:divBdr>
        <w:top w:val="none" w:sz="0" w:space="0" w:color="auto"/>
        <w:left w:val="none" w:sz="0" w:space="0" w:color="auto"/>
        <w:bottom w:val="none" w:sz="0" w:space="0" w:color="auto"/>
        <w:right w:val="none" w:sz="0" w:space="0" w:color="auto"/>
      </w:divBdr>
    </w:div>
    <w:div w:id="1140076031">
      <w:bodyDiv w:val="1"/>
      <w:marLeft w:val="0"/>
      <w:marRight w:val="0"/>
      <w:marTop w:val="0"/>
      <w:marBottom w:val="0"/>
      <w:divBdr>
        <w:top w:val="none" w:sz="0" w:space="0" w:color="auto"/>
        <w:left w:val="none" w:sz="0" w:space="0" w:color="auto"/>
        <w:bottom w:val="none" w:sz="0" w:space="0" w:color="auto"/>
        <w:right w:val="none" w:sz="0" w:space="0" w:color="auto"/>
      </w:divBdr>
    </w:div>
    <w:div w:id="1211651311">
      <w:bodyDiv w:val="1"/>
      <w:marLeft w:val="0"/>
      <w:marRight w:val="0"/>
      <w:marTop w:val="0"/>
      <w:marBottom w:val="0"/>
      <w:divBdr>
        <w:top w:val="none" w:sz="0" w:space="0" w:color="auto"/>
        <w:left w:val="none" w:sz="0" w:space="0" w:color="auto"/>
        <w:bottom w:val="none" w:sz="0" w:space="0" w:color="auto"/>
        <w:right w:val="none" w:sz="0" w:space="0" w:color="auto"/>
      </w:divBdr>
    </w:div>
    <w:div w:id="1337615639">
      <w:bodyDiv w:val="1"/>
      <w:marLeft w:val="0"/>
      <w:marRight w:val="0"/>
      <w:marTop w:val="0"/>
      <w:marBottom w:val="0"/>
      <w:divBdr>
        <w:top w:val="none" w:sz="0" w:space="0" w:color="auto"/>
        <w:left w:val="none" w:sz="0" w:space="0" w:color="auto"/>
        <w:bottom w:val="none" w:sz="0" w:space="0" w:color="auto"/>
        <w:right w:val="none" w:sz="0" w:space="0" w:color="auto"/>
      </w:divBdr>
    </w:div>
    <w:div w:id="1476138989">
      <w:bodyDiv w:val="1"/>
      <w:marLeft w:val="0"/>
      <w:marRight w:val="0"/>
      <w:marTop w:val="0"/>
      <w:marBottom w:val="0"/>
      <w:divBdr>
        <w:top w:val="none" w:sz="0" w:space="0" w:color="auto"/>
        <w:left w:val="none" w:sz="0" w:space="0" w:color="auto"/>
        <w:bottom w:val="none" w:sz="0" w:space="0" w:color="auto"/>
        <w:right w:val="none" w:sz="0" w:space="0" w:color="auto"/>
      </w:divBdr>
    </w:div>
    <w:div w:id="1524662086">
      <w:bodyDiv w:val="1"/>
      <w:marLeft w:val="0"/>
      <w:marRight w:val="0"/>
      <w:marTop w:val="0"/>
      <w:marBottom w:val="0"/>
      <w:divBdr>
        <w:top w:val="none" w:sz="0" w:space="0" w:color="auto"/>
        <w:left w:val="none" w:sz="0" w:space="0" w:color="auto"/>
        <w:bottom w:val="none" w:sz="0" w:space="0" w:color="auto"/>
        <w:right w:val="none" w:sz="0" w:space="0" w:color="auto"/>
      </w:divBdr>
    </w:div>
    <w:div w:id="1525096091">
      <w:bodyDiv w:val="1"/>
      <w:marLeft w:val="0"/>
      <w:marRight w:val="0"/>
      <w:marTop w:val="0"/>
      <w:marBottom w:val="0"/>
      <w:divBdr>
        <w:top w:val="none" w:sz="0" w:space="0" w:color="auto"/>
        <w:left w:val="none" w:sz="0" w:space="0" w:color="auto"/>
        <w:bottom w:val="none" w:sz="0" w:space="0" w:color="auto"/>
        <w:right w:val="none" w:sz="0" w:space="0" w:color="auto"/>
      </w:divBdr>
    </w:div>
    <w:div w:id="1558319406">
      <w:bodyDiv w:val="1"/>
      <w:marLeft w:val="0"/>
      <w:marRight w:val="0"/>
      <w:marTop w:val="0"/>
      <w:marBottom w:val="0"/>
      <w:divBdr>
        <w:top w:val="none" w:sz="0" w:space="0" w:color="auto"/>
        <w:left w:val="none" w:sz="0" w:space="0" w:color="auto"/>
        <w:bottom w:val="none" w:sz="0" w:space="0" w:color="auto"/>
        <w:right w:val="none" w:sz="0" w:space="0" w:color="auto"/>
      </w:divBdr>
    </w:div>
    <w:div w:id="1666279638">
      <w:bodyDiv w:val="1"/>
      <w:marLeft w:val="0"/>
      <w:marRight w:val="0"/>
      <w:marTop w:val="0"/>
      <w:marBottom w:val="0"/>
      <w:divBdr>
        <w:top w:val="none" w:sz="0" w:space="0" w:color="auto"/>
        <w:left w:val="none" w:sz="0" w:space="0" w:color="auto"/>
        <w:bottom w:val="none" w:sz="0" w:space="0" w:color="auto"/>
        <w:right w:val="none" w:sz="0" w:space="0" w:color="auto"/>
      </w:divBdr>
    </w:div>
    <w:div w:id="1716657923">
      <w:bodyDiv w:val="1"/>
      <w:marLeft w:val="0"/>
      <w:marRight w:val="0"/>
      <w:marTop w:val="0"/>
      <w:marBottom w:val="0"/>
      <w:divBdr>
        <w:top w:val="none" w:sz="0" w:space="0" w:color="auto"/>
        <w:left w:val="none" w:sz="0" w:space="0" w:color="auto"/>
        <w:bottom w:val="none" w:sz="0" w:space="0" w:color="auto"/>
        <w:right w:val="none" w:sz="0" w:space="0" w:color="auto"/>
      </w:divBdr>
    </w:div>
    <w:div w:id="1894383831">
      <w:bodyDiv w:val="1"/>
      <w:marLeft w:val="0"/>
      <w:marRight w:val="0"/>
      <w:marTop w:val="0"/>
      <w:marBottom w:val="0"/>
      <w:divBdr>
        <w:top w:val="none" w:sz="0" w:space="0" w:color="auto"/>
        <w:left w:val="none" w:sz="0" w:space="0" w:color="auto"/>
        <w:bottom w:val="none" w:sz="0" w:space="0" w:color="auto"/>
        <w:right w:val="none" w:sz="0" w:space="0" w:color="auto"/>
      </w:divBdr>
    </w:div>
    <w:div w:id="1894657980">
      <w:bodyDiv w:val="1"/>
      <w:marLeft w:val="0"/>
      <w:marRight w:val="0"/>
      <w:marTop w:val="0"/>
      <w:marBottom w:val="0"/>
      <w:divBdr>
        <w:top w:val="none" w:sz="0" w:space="0" w:color="auto"/>
        <w:left w:val="none" w:sz="0" w:space="0" w:color="auto"/>
        <w:bottom w:val="none" w:sz="0" w:space="0" w:color="auto"/>
        <w:right w:val="none" w:sz="0" w:space="0" w:color="auto"/>
      </w:divBdr>
    </w:div>
    <w:div w:id="1952125535">
      <w:bodyDiv w:val="1"/>
      <w:marLeft w:val="0"/>
      <w:marRight w:val="0"/>
      <w:marTop w:val="0"/>
      <w:marBottom w:val="0"/>
      <w:divBdr>
        <w:top w:val="none" w:sz="0" w:space="0" w:color="auto"/>
        <w:left w:val="none" w:sz="0" w:space="0" w:color="auto"/>
        <w:bottom w:val="none" w:sz="0" w:space="0" w:color="auto"/>
        <w:right w:val="none" w:sz="0" w:space="0" w:color="auto"/>
      </w:divBdr>
    </w:div>
    <w:div w:id="2000578717">
      <w:bodyDiv w:val="1"/>
      <w:marLeft w:val="0"/>
      <w:marRight w:val="0"/>
      <w:marTop w:val="0"/>
      <w:marBottom w:val="0"/>
      <w:divBdr>
        <w:top w:val="none" w:sz="0" w:space="0" w:color="auto"/>
        <w:left w:val="none" w:sz="0" w:space="0" w:color="auto"/>
        <w:bottom w:val="none" w:sz="0" w:space="0" w:color="auto"/>
        <w:right w:val="none" w:sz="0" w:space="0" w:color="auto"/>
      </w:divBdr>
    </w:div>
    <w:div w:id="21199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globalprivacyassembly.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1/10/Resolution-on-the-Future-of-the-Conference-and-the-Secretariat-adopted-ver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6E85-BF39-4ABD-990F-6C86E699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4437</Words>
  <Characters>24405</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Skevi</dc:creator>
  <cp:keywords/>
  <dc:description/>
  <cp:lastModifiedBy>Isabel González Flores</cp:lastModifiedBy>
  <cp:revision>2</cp:revision>
  <dcterms:created xsi:type="dcterms:W3CDTF">2022-11-28T16:10:00Z</dcterms:created>
  <dcterms:modified xsi:type="dcterms:W3CDTF">2022-11-28T16:10:00Z</dcterms:modified>
</cp:coreProperties>
</file>