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D502" w14:textId="77777777" w:rsidR="00F41B32" w:rsidRDefault="00F41B32">
      <w:pPr>
        <w:rPr>
          <w:noProof/>
          <w:lang w:eastAsia="en-NZ"/>
        </w:rPr>
      </w:pPr>
      <w:bookmarkStart w:id="0" w:name="_GoBack"/>
      <w:bookmarkEnd w:id="0"/>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6FF41E52" w14:textId="77777777" w:rsidR="00B85506" w:rsidRDefault="00B85506" w:rsidP="00DD6623">
            <w:pPr>
              <w:rPr>
                <w:rFonts w:ascii="Calibri" w:eastAsia="Calibri" w:hAnsi="Calibri" w:cs="Times New Roman"/>
                <w:sz w:val="24"/>
                <w:szCs w:val="24"/>
              </w:rPr>
            </w:pPr>
          </w:p>
          <w:p w14:paraId="1F289219" w14:textId="5D6E6A62" w:rsidR="0076715E" w:rsidRPr="00DD6623" w:rsidRDefault="00B85506" w:rsidP="00DD6623">
            <w:pPr>
              <w:rPr>
                <w:rFonts w:ascii="Calibri" w:eastAsia="Calibri" w:hAnsi="Calibri" w:cs="Times New Roman"/>
                <w:sz w:val="24"/>
                <w:szCs w:val="24"/>
              </w:rPr>
            </w:pPr>
            <w:r>
              <w:rPr>
                <w:rFonts w:ascii="Calibri" w:eastAsia="Calibri" w:hAnsi="Calibri" w:cs="Times New Roman"/>
                <w:sz w:val="24"/>
                <w:szCs w:val="24"/>
              </w:rPr>
              <w:t>Albanian Information and Data Protection Commissioner</w:t>
            </w:r>
            <w:r w:rsidRPr="00DD6623">
              <w:rPr>
                <w:rFonts w:ascii="Calibri" w:eastAsia="Calibri" w:hAnsi="Calibri" w:cs="Times New Roman"/>
                <w:sz w:val="24"/>
                <w:szCs w:val="24"/>
              </w:rPr>
              <w:t xml:space="preserve"> </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7CF1A6DC" w14:textId="77777777" w:rsidR="00DD6623" w:rsidRDefault="00DD6623" w:rsidP="00DD6623">
            <w:pPr>
              <w:rPr>
                <w:rFonts w:ascii="Calibri" w:eastAsia="Calibri" w:hAnsi="Calibri" w:cs="Times New Roman"/>
                <w:sz w:val="24"/>
                <w:szCs w:val="24"/>
              </w:rPr>
            </w:pPr>
          </w:p>
          <w:p w14:paraId="4145162E" w14:textId="0F7E19C2" w:rsidR="006A42F8" w:rsidRPr="00DD6623" w:rsidRDefault="006A42F8" w:rsidP="00DD6623">
            <w:pPr>
              <w:rPr>
                <w:rFonts w:ascii="Calibri" w:eastAsia="Calibri" w:hAnsi="Calibri" w:cs="Times New Roman"/>
                <w:sz w:val="24"/>
                <w:szCs w:val="24"/>
              </w:rPr>
            </w:pPr>
            <w:proofErr w:type="spellStart"/>
            <w:r>
              <w:rPr>
                <w:rFonts w:ascii="Calibri" w:eastAsia="Calibri" w:hAnsi="Calibri" w:cs="Times New Roman"/>
                <w:sz w:val="24"/>
                <w:szCs w:val="24"/>
              </w:rPr>
              <w:t>Denada</w:t>
            </w:r>
            <w:proofErr w:type="spellEnd"/>
            <w:r>
              <w:rPr>
                <w:rFonts w:ascii="Calibri" w:eastAsia="Calibri" w:hAnsi="Calibri" w:cs="Times New Roman"/>
                <w:sz w:val="24"/>
                <w:szCs w:val="24"/>
              </w:rPr>
              <w:t xml:space="preserve"> </w:t>
            </w:r>
          </w:p>
        </w:tc>
        <w:tc>
          <w:tcPr>
            <w:tcW w:w="3006" w:type="dxa"/>
            <w:tcBorders>
              <w:left w:val="nil"/>
              <w:bottom w:val="single" w:sz="4" w:space="0" w:color="auto"/>
              <w:right w:val="nil"/>
            </w:tcBorders>
          </w:tcPr>
          <w:p w14:paraId="1E2E373B" w14:textId="77777777" w:rsidR="00DD6623" w:rsidRDefault="00DD6623" w:rsidP="00DD6623">
            <w:pPr>
              <w:rPr>
                <w:rFonts w:ascii="Calibri" w:eastAsia="Calibri" w:hAnsi="Calibri" w:cs="Times New Roman"/>
                <w:sz w:val="24"/>
                <w:szCs w:val="24"/>
              </w:rPr>
            </w:pPr>
          </w:p>
          <w:p w14:paraId="1270AD7E" w14:textId="4FBFD491" w:rsidR="006A42F8" w:rsidRPr="00DD6623" w:rsidRDefault="006A42F8" w:rsidP="00DD6623">
            <w:pPr>
              <w:rPr>
                <w:rFonts w:ascii="Calibri" w:eastAsia="Calibri" w:hAnsi="Calibri" w:cs="Times New Roman"/>
                <w:sz w:val="24"/>
                <w:szCs w:val="24"/>
              </w:rPr>
            </w:pPr>
            <w:r>
              <w:rPr>
                <w:rFonts w:ascii="Calibri" w:eastAsia="Calibri" w:hAnsi="Calibri" w:cs="Times New Roman"/>
                <w:sz w:val="24"/>
                <w:szCs w:val="24"/>
              </w:rPr>
              <w:t xml:space="preserve">  </w:t>
            </w:r>
            <w:proofErr w:type="spellStart"/>
            <w:r>
              <w:rPr>
                <w:rFonts w:ascii="Calibri" w:eastAsia="Calibri" w:hAnsi="Calibri" w:cs="Times New Roman"/>
                <w:sz w:val="24"/>
                <w:szCs w:val="24"/>
              </w:rPr>
              <w:t>Hysi</w:t>
            </w:r>
            <w:proofErr w:type="spellEnd"/>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CD080B8" w14:textId="77777777" w:rsidR="0082183A" w:rsidRDefault="0082183A" w:rsidP="00DD6623">
            <w:pPr>
              <w:rPr>
                <w:rFonts w:ascii="Calibri" w:eastAsia="Calibri" w:hAnsi="Calibri" w:cs="Times New Roman"/>
                <w:sz w:val="24"/>
                <w:szCs w:val="24"/>
              </w:rPr>
            </w:pPr>
          </w:p>
          <w:p w14:paraId="3465E3FD" w14:textId="71CC8154" w:rsidR="006A42F8" w:rsidRPr="00DD6623" w:rsidRDefault="006A42F8" w:rsidP="00DD6623">
            <w:pPr>
              <w:rPr>
                <w:rFonts w:ascii="Calibri" w:eastAsia="Calibri" w:hAnsi="Calibri" w:cs="Times New Roman"/>
                <w:sz w:val="24"/>
                <w:szCs w:val="24"/>
              </w:rPr>
            </w:pPr>
            <w:r w:rsidRPr="00D567BE">
              <w:rPr>
                <w:rFonts w:eastAsia="Calibri" w:cstheme="minorHAnsi"/>
                <w:sz w:val="24"/>
                <w:szCs w:val="24"/>
              </w:rPr>
              <w:t>Head of Projects and Integration Sector</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5A2EBC5" w14:textId="77777777" w:rsidR="00DD6623" w:rsidRDefault="00DD6623" w:rsidP="00DD6623">
            <w:pPr>
              <w:rPr>
                <w:rFonts w:ascii="Calibri" w:eastAsia="Calibri" w:hAnsi="Calibri" w:cs="Times New Roman"/>
                <w:sz w:val="24"/>
                <w:szCs w:val="24"/>
              </w:rPr>
            </w:pPr>
          </w:p>
          <w:p w14:paraId="1390626E" w14:textId="64CCBB0C" w:rsidR="0076715E" w:rsidRPr="00DD6623" w:rsidRDefault="0076715E" w:rsidP="00DD6623">
            <w:pPr>
              <w:rPr>
                <w:rFonts w:ascii="Calibri" w:eastAsia="Calibri" w:hAnsi="Calibri" w:cs="Times New Roman"/>
                <w:sz w:val="24"/>
                <w:szCs w:val="24"/>
              </w:rPr>
            </w:pPr>
            <w:r>
              <w:rPr>
                <w:rFonts w:ascii="Calibri" w:eastAsia="Calibri" w:hAnsi="Calibri" w:cs="Times New Roman"/>
                <w:sz w:val="24"/>
                <w:szCs w:val="24"/>
              </w:rPr>
              <w:t>info@idp.al</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12C3FF83" w:rsidR="00DD6623" w:rsidRPr="00DD6623" w:rsidRDefault="00943B1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6DC49C91" w:rsidR="00DD6623" w:rsidRPr="00DD6623" w:rsidRDefault="005E482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333EAE93" w:rsidR="00DD6623" w:rsidRPr="00DD6623" w:rsidRDefault="005E482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76020E45" w:rsidR="00DD6623" w:rsidRPr="00DD6623" w:rsidRDefault="00943B1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217F53A" w14:textId="16E658AA" w:rsidR="00DD6623" w:rsidRPr="00723C3A" w:rsidRDefault="00B85506" w:rsidP="0076715E">
            <w:pPr>
              <w:pStyle w:val="NormalWeb"/>
              <w:jc w:val="both"/>
            </w:pPr>
            <w:r w:rsidRPr="00B85506">
              <w:rPr>
                <w:rFonts w:eastAsia="Calibri"/>
              </w:rPr>
              <w:t>The Information and Data Protection Commissioner of the Republic of Albania (IDP)</w:t>
            </w:r>
            <w:r w:rsidR="0072411E" w:rsidRPr="00B85506">
              <w:t xml:space="preserve"> </w:t>
            </w:r>
            <w:r w:rsidR="0072411E" w:rsidRPr="0076715E">
              <w:t xml:space="preserve">in cooperation with the </w:t>
            </w:r>
            <w:r w:rsidR="0072411E" w:rsidRPr="0076715E">
              <w:rPr>
                <w:rStyle w:val="Strong"/>
                <w:b w:val="0"/>
                <w:bCs w:val="0"/>
              </w:rPr>
              <w:t>OSCE Presence in Albania</w:t>
            </w:r>
            <w:r w:rsidR="0072411E" w:rsidRPr="0076715E">
              <w:t xml:space="preserve">, carried out regional awareness-raising activities in the field of </w:t>
            </w:r>
            <w:r w:rsidR="0072411E" w:rsidRPr="0076715E">
              <w:rPr>
                <w:rStyle w:val="Strong"/>
                <w:b w:val="0"/>
                <w:bCs w:val="0"/>
              </w:rPr>
              <w:t>education</w:t>
            </w:r>
            <w:r w:rsidR="0072411E" w:rsidRPr="0076715E">
              <w:t xml:space="preserve">, regarding </w:t>
            </w:r>
            <w:r w:rsidR="0072411E" w:rsidRPr="0076715E">
              <w:rPr>
                <w:rStyle w:val="Strong"/>
                <w:b w:val="0"/>
                <w:bCs w:val="0"/>
              </w:rPr>
              <w:t>legal obligations for the protection of personal data</w:t>
            </w:r>
            <w:r w:rsidR="0072411E" w:rsidRPr="0076715E">
              <w:t xml:space="preserve">, with a particular focus on the </w:t>
            </w:r>
            <w:r w:rsidR="0072411E" w:rsidRPr="0076715E">
              <w:rPr>
                <w:rStyle w:val="Strong"/>
                <w:b w:val="0"/>
                <w:bCs w:val="0"/>
              </w:rPr>
              <w:t>processing of</w:t>
            </w:r>
            <w:r w:rsidR="00B45088">
              <w:rPr>
                <w:rStyle w:val="Strong"/>
                <w:b w:val="0"/>
                <w:bCs w:val="0"/>
              </w:rPr>
              <w:t xml:space="preserve"> young generation</w:t>
            </w:r>
            <w:r w:rsidR="0072411E" w:rsidRPr="0076715E">
              <w:rPr>
                <w:rStyle w:val="Strong"/>
                <w:b w:val="0"/>
                <w:bCs w:val="0"/>
              </w:rPr>
              <w:t xml:space="preserve"> (minors') data</w:t>
            </w:r>
            <w:r w:rsidR="0072411E" w:rsidRPr="0076715E">
              <w:t>.</w:t>
            </w:r>
            <w:r w:rsidR="0076715E">
              <w:t xml:space="preserve"> </w:t>
            </w:r>
            <w:r w:rsidR="0072411E" w:rsidRPr="0076715E">
              <w:t xml:space="preserve">During these activities, an </w:t>
            </w:r>
            <w:r w:rsidR="0072411E" w:rsidRPr="0076715E">
              <w:rPr>
                <w:rStyle w:val="Strong"/>
                <w:b w:val="0"/>
                <w:bCs w:val="0"/>
              </w:rPr>
              <w:t>informative questionnaire</w:t>
            </w:r>
            <w:r w:rsidR="0072411E" w:rsidRPr="0076715E">
              <w:t xml:space="preserve"> was also presented, aimed at assessing knowledge of the legislation on personal data protection.</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1F31E2E6" w14:textId="1033A9F7" w:rsidR="0076715E" w:rsidRDefault="0076715E" w:rsidP="0076715E">
            <w:pPr>
              <w:pStyle w:val="NormalWeb"/>
              <w:jc w:val="both"/>
            </w:pPr>
            <w:r w:rsidRPr="0076715E">
              <w:rPr>
                <w:rStyle w:val="Strong"/>
                <w:b w:val="0"/>
                <w:bCs w:val="0"/>
              </w:rPr>
              <w:t xml:space="preserve">The </w:t>
            </w:r>
            <w:r w:rsidR="00B45088">
              <w:rPr>
                <w:rStyle w:val="Strong"/>
                <w:b w:val="0"/>
                <w:bCs w:val="0"/>
              </w:rPr>
              <w:t>IDP</w:t>
            </w:r>
            <w:r>
              <w:t xml:space="preserve"> places great importance on raising awareness and fostering a social culture that prioritizes the protection of fundamental human rights and freedoms.</w:t>
            </w:r>
          </w:p>
          <w:p w14:paraId="57DA5091" w14:textId="77777777" w:rsidR="0076715E" w:rsidRDefault="0076715E" w:rsidP="0076715E">
            <w:pPr>
              <w:pStyle w:val="NormalWeb"/>
              <w:jc w:val="both"/>
            </w:pPr>
            <w:r>
              <w:t>As part of its efforts to raise awareness about personal data protection, the developed questionnaire was implemented in a user-friendly and innovative way. Participants could access it by scanning a QR code (barcode) with their mobile phones. This approach made it quick and easy for users to engage, without needing to download any extra apps or sign up. Scanning the QR code took participants to a specially designed webpage, optimized for mobile browsers, ensuring instant, smooth access with no technical barriers.</w:t>
            </w:r>
          </w:p>
          <w:p w14:paraId="6D51C1A9" w14:textId="77777777" w:rsidR="0076715E" w:rsidRDefault="0076715E" w:rsidP="0076715E">
            <w:pPr>
              <w:pStyle w:val="NormalWeb"/>
              <w:jc w:val="both"/>
            </w:pPr>
            <w:r>
              <w:t>A core feature of this process was ensuring the complete anonymity of the users. The system didn’t gather any personal or identifiable information from the users' devices, meaning no IP addresses, location data, or other sensitive information was recorded. All responses were stored in an anonymized way, linked only to a randomly generated ID created at the beginning of the questionnaire, with no connection to the participant’s identity.</w:t>
            </w:r>
          </w:p>
          <w:p w14:paraId="747F5B50" w14:textId="77777777" w:rsidR="0076715E" w:rsidRDefault="0076715E" w:rsidP="0076715E">
            <w:pPr>
              <w:pStyle w:val="NormalWeb"/>
              <w:jc w:val="both"/>
            </w:pPr>
            <w:r>
              <w:t>Once the data collection period ended, the results were processed and analyzed using a specialized statistical platform. This platform generated clear visual representations, such as pie charts, showing the percentage of responses for each question. This made it easier to interpret and understand the participants' level of knowledge and awareness about personal data protection legislation.</w:t>
            </w:r>
          </w:p>
          <w:p w14:paraId="10282A6C" w14:textId="0FA745EA" w:rsidR="00DD6623" w:rsidRPr="004D57D5" w:rsidRDefault="00DD6623" w:rsidP="004D57D5">
            <w:pPr>
              <w:pStyle w:val="NormalWeb"/>
              <w:jc w:val="both"/>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1913772C" w14:textId="290C22BA" w:rsidR="0076715E" w:rsidRDefault="0076715E" w:rsidP="0076715E">
            <w:pPr>
              <w:pStyle w:val="NormalWeb"/>
              <w:jc w:val="both"/>
            </w:pPr>
            <w:r>
              <w:t>This initiative innovatively addresses a very sensitive aspect of personal data protection — the processing of young generation data</w:t>
            </w:r>
            <w:r w:rsidR="008F0156">
              <w:t xml:space="preserve"> (minors),</w:t>
            </w:r>
            <w:r>
              <w:t xml:space="preserve"> a category that is particularly protected under the General Data Protection Regulation (GDPR). The young generation, which is highly exposed to technology and digital platforms, requires special measures to ensure the protection of their privacy and personal data.</w:t>
            </w:r>
          </w:p>
          <w:p w14:paraId="1ACF8F3B" w14:textId="77777777" w:rsidR="0076715E" w:rsidRDefault="0076715E" w:rsidP="0076715E">
            <w:pPr>
              <w:pStyle w:val="NormalWeb"/>
              <w:jc w:val="both"/>
            </w:pPr>
            <w:r>
              <w:t xml:space="preserve">Through the anonymized questionnaire and secure data collection methods, the initiative not only educates the youth and those involved in the process about their legal rights but also demonstrates compliance with the highest standards of data protection. This careful approach </w:t>
            </w:r>
            <w:r>
              <w:lastRenderedPageBreak/>
              <w:t>is crucial for creating an environment of trust and for promoting responsible awareness regarding the processing of minors' personal data.</w:t>
            </w:r>
          </w:p>
          <w:p w14:paraId="27B67F69" w14:textId="742E0B43" w:rsidR="0076715E" w:rsidRDefault="0076715E" w:rsidP="0076715E">
            <w:pPr>
              <w:pStyle w:val="NormalWeb"/>
              <w:jc w:val="both"/>
            </w:pPr>
            <w:r>
              <w:t xml:space="preserve">In this way, the initiative contributes to empowering the </w:t>
            </w:r>
            <w:r w:rsidR="008F0156">
              <w:t>young</w:t>
            </w:r>
            <w:r>
              <w:t xml:space="preserve"> generation by giving them the opportunity to understand their rights and actively participate in protecting their privacy. It thus fulfills the legal requirements for personal data protection and serves as an excellent example of best practices in the field of data protection.</w:t>
            </w:r>
          </w:p>
          <w:p w14:paraId="4120D298" w14:textId="77777777" w:rsidR="00DD6623" w:rsidRPr="00DD6623" w:rsidRDefault="00DD6623" w:rsidP="0076715E">
            <w:pPr>
              <w:jc w:val="both"/>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43342C83" w:rsidR="00DD6623" w:rsidRDefault="0069258F" w:rsidP="00DD6623">
            <w:pPr>
              <w:rPr>
                <w:rFonts w:ascii="Calibri" w:eastAsia="Calibri" w:hAnsi="Calibri" w:cs="Times New Roman"/>
                <w:sz w:val="24"/>
                <w:szCs w:val="24"/>
              </w:rPr>
            </w:pPr>
            <w:r w:rsidRPr="0069258F">
              <w:rPr>
                <w:rFonts w:ascii="Calibri" w:eastAsia="Calibri" w:hAnsi="Calibri" w:cs="Times New Roman"/>
                <w:noProof/>
                <w:sz w:val="24"/>
                <w:szCs w:val="24"/>
                <w:lang w:val="en-US"/>
              </w:rPr>
              <w:drawing>
                <wp:inline distT="0" distB="0" distL="0" distR="0" wp14:anchorId="64312296" wp14:editId="310FB8E0">
                  <wp:extent cx="3990975" cy="1720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1942" cy="1725632"/>
                          </a:xfrm>
                          <a:prstGeom prst="rect">
                            <a:avLst/>
                          </a:prstGeom>
                        </pic:spPr>
                      </pic:pic>
                    </a:graphicData>
                  </a:graphic>
                </wp:inline>
              </w:drawing>
            </w:r>
          </w:p>
          <w:p w14:paraId="439C6DD7" w14:textId="77777777" w:rsidR="0069258F" w:rsidRPr="00DD6623" w:rsidRDefault="0069258F" w:rsidP="00DD6623">
            <w:pPr>
              <w:rPr>
                <w:rFonts w:ascii="Calibri" w:eastAsia="Calibri" w:hAnsi="Calibri" w:cs="Times New Roman"/>
                <w:sz w:val="24"/>
                <w:szCs w:val="24"/>
              </w:rPr>
            </w:pPr>
          </w:p>
          <w:p w14:paraId="170CE85E" w14:textId="461B3FC3" w:rsidR="00DD6623" w:rsidRDefault="0069258F" w:rsidP="00DD6623">
            <w:pPr>
              <w:rPr>
                <w:rFonts w:ascii="Calibri" w:eastAsia="Calibri" w:hAnsi="Calibri" w:cs="Times New Roman"/>
                <w:sz w:val="24"/>
                <w:szCs w:val="24"/>
              </w:rPr>
            </w:pPr>
            <w:r w:rsidRPr="0069258F">
              <w:rPr>
                <w:rFonts w:ascii="Calibri" w:eastAsia="Calibri" w:hAnsi="Calibri" w:cs="Times New Roman"/>
                <w:noProof/>
                <w:sz w:val="24"/>
                <w:szCs w:val="24"/>
                <w:lang w:val="en-US"/>
              </w:rPr>
              <w:drawing>
                <wp:inline distT="0" distB="0" distL="0" distR="0" wp14:anchorId="1C15BEDB" wp14:editId="40F9B180">
                  <wp:extent cx="3905250" cy="159783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1664" cy="1604554"/>
                          </a:xfrm>
                          <a:prstGeom prst="rect">
                            <a:avLst/>
                          </a:prstGeom>
                        </pic:spPr>
                      </pic:pic>
                    </a:graphicData>
                  </a:graphic>
                </wp:inline>
              </w:drawing>
            </w:r>
          </w:p>
          <w:p w14:paraId="1E69F887" w14:textId="49838B30" w:rsidR="0069258F" w:rsidRPr="00DD6623" w:rsidRDefault="0069258F" w:rsidP="00DD6623">
            <w:pPr>
              <w:rPr>
                <w:rFonts w:ascii="Calibri" w:eastAsia="Calibri" w:hAnsi="Calibri" w:cs="Times New Roman"/>
                <w:sz w:val="24"/>
                <w:szCs w:val="24"/>
              </w:rPr>
            </w:pPr>
            <w:r w:rsidRPr="0069258F">
              <w:rPr>
                <w:rFonts w:ascii="Calibri" w:eastAsia="Calibri" w:hAnsi="Calibri" w:cs="Times New Roman"/>
                <w:noProof/>
                <w:sz w:val="24"/>
                <w:szCs w:val="24"/>
                <w:lang w:val="en-US"/>
              </w:rPr>
              <w:drawing>
                <wp:inline distT="0" distB="0" distL="0" distR="0" wp14:anchorId="567F8315" wp14:editId="565A31A2">
                  <wp:extent cx="4167042" cy="18097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9938" cy="1811008"/>
                          </a:xfrm>
                          <a:prstGeom prst="rect">
                            <a:avLst/>
                          </a:prstGeom>
                        </pic:spPr>
                      </pic:pic>
                    </a:graphicData>
                  </a:graphic>
                </wp:inline>
              </w:drawing>
            </w: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77777777" w:rsidR="00DD6623" w:rsidRPr="00DD6623" w:rsidRDefault="00DD6623" w:rsidP="00DD6623">
            <w:pPr>
              <w:rPr>
                <w:rFonts w:ascii="Calibri" w:eastAsia="Calibri" w:hAnsi="Calibri" w:cs="Times New Roman"/>
                <w:sz w:val="24"/>
                <w:szCs w:val="24"/>
              </w:rPr>
            </w:pP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34833232"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w:t>
            </w:r>
            <w:r w:rsidR="00B85506">
              <w:rPr>
                <w:rFonts w:ascii="Calibri" w:eastAsia="Calibri" w:hAnsi="Calibri" w:cs="Times New Roman"/>
                <w:i/>
                <w:iCs/>
                <w:sz w:val="24"/>
                <w:szCs w:val="24"/>
              </w:rPr>
              <w:t>.</w:t>
            </w:r>
            <w:r w:rsidRPr="00DD6623">
              <w:rPr>
                <w:rFonts w:ascii="Calibri" w:eastAsia="Calibri" w:hAnsi="Calibri" w:cs="Times New Roman"/>
                <w:i/>
                <w:iCs/>
                <w:sz w:val="24"/>
                <w:szCs w:val="24"/>
              </w:rPr>
              <w:t>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5"/>
      <w:footerReference w:type="default" r:id="rId16"/>
      <w:headerReference w:type="first" r:id="rId17"/>
      <w:footerReference w:type="firs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747E" w14:textId="77777777" w:rsidR="00FD74B6" w:rsidRDefault="00FD74B6" w:rsidP="00F41B32">
      <w:pPr>
        <w:spacing w:after="0" w:line="240" w:lineRule="auto"/>
      </w:pPr>
      <w:r>
        <w:separator/>
      </w:r>
    </w:p>
  </w:endnote>
  <w:endnote w:type="continuationSeparator" w:id="0">
    <w:p w14:paraId="0114C240" w14:textId="77777777" w:rsidR="00FD74B6" w:rsidRDefault="00FD74B6" w:rsidP="00F41B32">
      <w:pPr>
        <w:spacing w:after="0" w:line="240" w:lineRule="auto"/>
      </w:pPr>
      <w:r>
        <w:continuationSeparator/>
      </w:r>
    </w:p>
  </w:endnote>
  <w:endnote w:type="continuationNotice" w:id="1">
    <w:p w14:paraId="2BC3E53F" w14:textId="77777777" w:rsidR="00FD74B6" w:rsidRDefault="00FD7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7552"/>
      <w:docPartObj>
        <w:docPartGallery w:val="Page Numbers (Bottom of Page)"/>
        <w:docPartUnique/>
      </w:docPartObj>
    </w:sdtPr>
    <w:sdtEndPr>
      <w:rPr>
        <w:noProof/>
      </w:rPr>
    </w:sdtEndPr>
    <w:sdtContent>
      <w:p w14:paraId="464DD53D" w14:textId="4450D8D0" w:rsidR="00DE7A0D" w:rsidRDefault="00DE7A0D">
        <w:pPr>
          <w:pStyle w:val="Footer"/>
          <w:jc w:val="right"/>
        </w:pPr>
        <w:r>
          <w:fldChar w:fldCharType="begin"/>
        </w:r>
        <w:r>
          <w:instrText xml:space="preserve"> PAGE   \* MERGEFORMAT </w:instrText>
        </w:r>
        <w:r>
          <w:fldChar w:fldCharType="separate"/>
        </w:r>
        <w:r w:rsidR="00AD7488">
          <w:rPr>
            <w:noProof/>
          </w:rPr>
          <w:t>2</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67744"/>
      <w:docPartObj>
        <w:docPartGallery w:val="Page Numbers (Bottom of Page)"/>
        <w:docPartUnique/>
      </w:docPartObj>
    </w:sdtPr>
    <w:sdtEndPr>
      <w:rPr>
        <w:noProof/>
      </w:rPr>
    </w:sdtEndPr>
    <w:sdtContent>
      <w:p w14:paraId="37498756" w14:textId="29CAEAFF" w:rsidR="0082165F" w:rsidRDefault="0082165F">
        <w:pPr>
          <w:pStyle w:val="Footer"/>
          <w:jc w:val="right"/>
        </w:pPr>
        <w:r>
          <w:fldChar w:fldCharType="begin"/>
        </w:r>
        <w:r>
          <w:instrText xml:space="preserve"> PAGE   \* MERGEFORMAT </w:instrText>
        </w:r>
        <w:r>
          <w:fldChar w:fldCharType="separate"/>
        </w:r>
        <w:r w:rsidR="00AD7488">
          <w:rPr>
            <w:noProof/>
          </w:rPr>
          <w:t>1</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B5F3" w14:textId="77777777" w:rsidR="00FD74B6" w:rsidRDefault="00FD74B6" w:rsidP="00F41B32">
      <w:pPr>
        <w:spacing w:after="0" w:line="240" w:lineRule="auto"/>
      </w:pPr>
      <w:r>
        <w:separator/>
      </w:r>
    </w:p>
  </w:footnote>
  <w:footnote w:type="continuationSeparator" w:id="0">
    <w:p w14:paraId="3AB93B70" w14:textId="77777777" w:rsidR="00FD74B6" w:rsidRDefault="00FD74B6" w:rsidP="00F41B32">
      <w:pPr>
        <w:spacing w:after="0" w:line="240" w:lineRule="auto"/>
      </w:pPr>
      <w:r>
        <w:continuationSeparator/>
      </w:r>
    </w:p>
  </w:footnote>
  <w:footnote w:type="continuationNotice" w:id="1">
    <w:p w14:paraId="38E71CA2" w14:textId="77777777" w:rsidR="00FD74B6" w:rsidRDefault="00FD74B6">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680E" w14:textId="5B04ECB8" w:rsidR="00FE1CBF" w:rsidRDefault="0CF9034D" w:rsidP="00FE1CBF">
    <w:pPr>
      <w:pStyle w:val="Header"/>
      <w:jc w:val="center"/>
    </w:pPr>
    <w:r>
      <w:rPr>
        <w:noProof/>
        <w:lang w:val="en-US"/>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54214"/>
    <w:rsid w:val="00054D8F"/>
    <w:rsid w:val="00074986"/>
    <w:rsid w:val="000E3C88"/>
    <w:rsid w:val="001268C5"/>
    <w:rsid w:val="00150BA3"/>
    <w:rsid w:val="00171841"/>
    <w:rsid w:val="00177F95"/>
    <w:rsid w:val="00193EBC"/>
    <w:rsid w:val="001B1447"/>
    <w:rsid w:val="001B3FE8"/>
    <w:rsid w:val="001C15B5"/>
    <w:rsid w:val="001D4FC2"/>
    <w:rsid w:val="00216430"/>
    <w:rsid w:val="00235848"/>
    <w:rsid w:val="002604F5"/>
    <w:rsid w:val="00281428"/>
    <w:rsid w:val="002D106F"/>
    <w:rsid w:val="002E00D9"/>
    <w:rsid w:val="002F7D3D"/>
    <w:rsid w:val="00301994"/>
    <w:rsid w:val="00316AE1"/>
    <w:rsid w:val="003800F5"/>
    <w:rsid w:val="003A0EC7"/>
    <w:rsid w:val="003A37D3"/>
    <w:rsid w:val="003B7DAA"/>
    <w:rsid w:val="003D58FC"/>
    <w:rsid w:val="003E5F09"/>
    <w:rsid w:val="0043397E"/>
    <w:rsid w:val="004467A0"/>
    <w:rsid w:val="00471E98"/>
    <w:rsid w:val="00480B2C"/>
    <w:rsid w:val="0049273F"/>
    <w:rsid w:val="004C41B3"/>
    <w:rsid w:val="004D1E2E"/>
    <w:rsid w:val="004D57D5"/>
    <w:rsid w:val="004E5F37"/>
    <w:rsid w:val="00500A57"/>
    <w:rsid w:val="00502848"/>
    <w:rsid w:val="00514A4F"/>
    <w:rsid w:val="0057237B"/>
    <w:rsid w:val="005939C8"/>
    <w:rsid w:val="005C0354"/>
    <w:rsid w:val="005E12FC"/>
    <w:rsid w:val="005E4820"/>
    <w:rsid w:val="005E4FDC"/>
    <w:rsid w:val="00600353"/>
    <w:rsid w:val="00633D54"/>
    <w:rsid w:val="006756E8"/>
    <w:rsid w:val="0068231A"/>
    <w:rsid w:val="00682E47"/>
    <w:rsid w:val="006832D5"/>
    <w:rsid w:val="0069258F"/>
    <w:rsid w:val="00697F72"/>
    <w:rsid w:val="006A3D3A"/>
    <w:rsid w:val="006A42F8"/>
    <w:rsid w:val="006E1894"/>
    <w:rsid w:val="0070032E"/>
    <w:rsid w:val="0071587F"/>
    <w:rsid w:val="00723C3A"/>
    <w:rsid w:val="0072411E"/>
    <w:rsid w:val="0072573D"/>
    <w:rsid w:val="00747895"/>
    <w:rsid w:val="0076715E"/>
    <w:rsid w:val="00792750"/>
    <w:rsid w:val="007B2B44"/>
    <w:rsid w:val="007B6E8E"/>
    <w:rsid w:val="007D00E1"/>
    <w:rsid w:val="00805A48"/>
    <w:rsid w:val="00806684"/>
    <w:rsid w:val="00816ED0"/>
    <w:rsid w:val="0082165F"/>
    <w:rsid w:val="0082183A"/>
    <w:rsid w:val="00826B28"/>
    <w:rsid w:val="00830CDA"/>
    <w:rsid w:val="00863C68"/>
    <w:rsid w:val="0088070E"/>
    <w:rsid w:val="008D07AC"/>
    <w:rsid w:val="008D3516"/>
    <w:rsid w:val="008F0156"/>
    <w:rsid w:val="00903E7C"/>
    <w:rsid w:val="00943B13"/>
    <w:rsid w:val="009B3AEE"/>
    <w:rsid w:val="00A04F81"/>
    <w:rsid w:val="00A3098B"/>
    <w:rsid w:val="00A30B63"/>
    <w:rsid w:val="00A32399"/>
    <w:rsid w:val="00A42A5D"/>
    <w:rsid w:val="00A45AD6"/>
    <w:rsid w:val="00A56192"/>
    <w:rsid w:val="00A947E7"/>
    <w:rsid w:val="00AC02D8"/>
    <w:rsid w:val="00AD7488"/>
    <w:rsid w:val="00AF2415"/>
    <w:rsid w:val="00B17318"/>
    <w:rsid w:val="00B45088"/>
    <w:rsid w:val="00B541DD"/>
    <w:rsid w:val="00B62F7A"/>
    <w:rsid w:val="00B75191"/>
    <w:rsid w:val="00B831EB"/>
    <w:rsid w:val="00B85506"/>
    <w:rsid w:val="00BB4DF3"/>
    <w:rsid w:val="00BB6A10"/>
    <w:rsid w:val="00BD2F98"/>
    <w:rsid w:val="00BF49F3"/>
    <w:rsid w:val="00C27874"/>
    <w:rsid w:val="00C574B1"/>
    <w:rsid w:val="00C67697"/>
    <w:rsid w:val="00C9187C"/>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A0D08"/>
    <w:rsid w:val="00EE7D51"/>
    <w:rsid w:val="00EF3406"/>
    <w:rsid w:val="00F00A94"/>
    <w:rsid w:val="00F41B32"/>
    <w:rsid w:val="00F83EFA"/>
    <w:rsid w:val="00FD0D20"/>
    <w:rsid w:val="00FD2440"/>
    <w:rsid w:val="00FD74B6"/>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customStyle="1"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paragraph" w:styleId="NormalWeb">
    <w:name w:val="Normal (Web)"/>
    <w:basedOn w:val="Normal"/>
    <w:uiPriority w:val="99"/>
    <w:unhideWhenUsed/>
    <w:rsid w:val="00943B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24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2812">
      <w:bodyDiv w:val="1"/>
      <w:marLeft w:val="0"/>
      <w:marRight w:val="0"/>
      <w:marTop w:val="0"/>
      <w:marBottom w:val="0"/>
      <w:divBdr>
        <w:top w:val="none" w:sz="0" w:space="0" w:color="auto"/>
        <w:left w:val="none" w:sz="0" w:space="0" w:color="auto"/>
        <w:bottom w:val="none" w:sz="0" w:space="0" w:color="auto"/>
        <w:right w:val="none" w:sz="0" w:space="0" w:color="auto"/>
      </w:divBdr>
    </w:div>
    <w:div w:id="528681318">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884830054">
      <w:bodyDiv w:val="1"/>
      <w:marLeft w:val="0"/>
      <w:marRight w:val="0"/>
      <w:marTop w:val="0"/>
      <w:marBottom w:val="0"/>
      <w:divBdr>
        <w:top w:val="none" w:sz="0" w:space="0" w:color="auto"/>
        <w:left w:val="none" w:sz="0" w:space="0" w:color="auto"/>
        <w:bottom w:val="none" w:sz="0" w:space="0" w:color="auto"/>
        <w:right w:val="none" w:sz="0" w:space="0" w:color="auto"/>
      </w:divBdr>
    </w:div>
    <w:div w:id="922375473">
      <w:bodyDiv w:val="1"/>
      <w:marLeft w:val="0"/>
      <w:marRight w:val="0"/>
      <w:marTop w:val="0"/>
      <w:marBottom w:val="0"/>
      <w:divBdr>
        <w:top w:val="none" w:sz="0" w:space="0" w:color="auto"/>
        <w:left w:val="none" w:sz="0" w:space="0" w:color="auto"/>
        <w:bottom w:val="none" w:sz="0" w:space="0" w:color="auto"/>
        <w:right w:val="none" w:sz="0" w:space="0" w:color="auto"/>
      </w:divBdr>
    </w:div>
    <w:div w:id="1701390550">
      <w:bodyDiv w:val="1"/>
      <w:marLeft w:val="0"/>
      <w:marRight w:val="0"/>
      <w:marTop w:val="0"/>
      <w:marBottom w:val="0"/>
      <w:divBdr>
        <w:top w:val="none" w:sz="0" w:space="0" w:color="auto"/>
        <w:left w:val="none" w:sz="0" w:space="0" w:color="auto"/>
        <w:bottom w:val="none" w:sz="0" w:space="0" w:color="auto"/>
        <w:right w:val="none" w:sz="0" w:space="0" w:color="auto"/>
      </w:divBdr>
    </w:div>
    <w:div w:id="1794328390">
      <w:bodyDiv w:val="1"/>
      <w:marLeft w:val="0"/>
      <w:marRight w:val="0"/>
      <w:marTop w:val="0"/>
      <w:marBottom w:val="0"/>
      <w:divBdr>
        <w:top w:val="none" w:sz="0" w:space="0" w:color="auto"/>
        <w:left w:val="none" w:sz="0" w:space="0" w:color="auto"/>
        <w:bottom w:val="none" w:sz="0" w:space="0" w:color="auto"/>
        <w:right w:val="none" w:sz="0" w:space="0" w:color="auto"/>
      </w:divBdr>
    </w:div>
    <w:div w:id="19295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4.xml><?xml version="1.0" encoding="utf-8"?>
<ds:datastoreItem xmlns:ds="http://schemas.openxmlformats.org/officeDocument/2006/customXml" ds:itemID="{4193F892-072F-4E3F-80F6-F9A1B2B1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User</cp:lastModifiedBy>
  <cp:revision>2</cp:revision>
  <dcterms:created xsi:type="dcterms:W3CDTF">2025-05-30T11:09:00Z</dcterms:created>
  <dcterms:modified xsi:type="dcterms:W3CDTF">2025-05-30T11:09:00Z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