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7C412132" w:rsidR="00DD6623" w:rsidRPr="00DD6623" w:rsidRDefault="00D21BBD" w:rsidP="00DD6623">
            <w:pPr>
              <w:rPr>
                <w:rFonts w:ascii="Calibri" w:eastAsia="Calibri" w:hAnsi="Calibri" w:cs="Times New Roman"/>
                <w:sz w:val="24"/>
                <w:szCs w:val="24"/>
              </w:rPr>
            </w:pPr>
            <w:r>
              <w:rPr>
                <w:rFonts w:ascii="Calibri" w:eastAsia="Calibri" w:hAnsi="Calibri" w:cs="Times New Roman"/>
                <w:sz w:val="24"/>
                <w:szCs w:val="24"/>
              </w:rPr>
              <w:t xml:space="preserve">EUROPEAN DATA PROTECTION SUPERVISOR </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4145162E" w14:textId="41CC7B70" w:rsidR="00DD6623" w:rsidRPr="00DD6623" w:rsidRDefault="00D21BBD" w:rsidP="00DD6623">
            <w:pPr>
              <w:rPr>
                <w:rFonts w:ascii="Calibri" w:eastAsia="Calibri" w:hAnsi="Calibri" w:cs="Times New Roman"/>
                <w:sz w:val="24"/>
                <w:szCs w:val="24"/>
              </w:rPr>
            </w:pPr>
            <w:r>
              <w:rPr>
                <w:rFonts w:ascii="Calibri" w:eastAsia="Calibri" w:hAnsi="Calibri" w:cs="Times New Roman"/>
                <w:sz w:val="24"/>
                <w:szCs w:val="24"/>
              </w:rPr>
              <w:t xml:space="preserve">DINA </w:t>
            </w:r>
          </w:p>
        </w:tc>
        <w:tc>
          <w:tcPr>
            <w:tcW w:w="3006" w:type="dxa"/>
            <w:tcBorders>
              <w:left w:val="nil"/>
              <w:bottom w:val="single" w:sz="4" w:space="0" w:color="auto"/>
              <w:right w:val="nil"/>
            </w:tcBorders>
          </w:tcPr>
          <w:p w14:paraId="1270AD7E" w14:textId="6EFEEA79" w:rsidR="00DD6623" w:rsidRPr="00DD6623" w:rsidRDefault="00D21BBD" w:rsidP="00DD6623">
            <w:pPr>
              <w:rPr>
                <w:rFonts w:ascii="Calibri" w:eastAsia="Calibri" w:hAnsi="Calibri" w:cs="Times New Roman"/>
                <w:sz w:val="24"/>
                <w:szCs w:val="24"/>
              </w:rPr>
            </w:pPr>
            <w:r>
              <w:rPr>
                <w:rFonts w:ascii="Calibri" w:eastAsia="Calibri" w:hAnsi="Calibri" w:cs="Times New Roman"/>
                <w:sz w:val="24"/>
                <w:szCs w:val="24"/>
              </w:rPr>
              <w:t>KAMPOURAKI</w:t>
            </w: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3465E3FD" w14:textId="6483588D" w:rsidR="0082183A" w:rsidRPr="00DD6623" w:rsidRDefault="00D21BBD" w:rsidP="00DD6623">
            <w:pPr>
              <w:rPr>
                <w:rFonts w:ascii="Calibri" w:eastAsia="Calibri" w:hAnsi="Calibri" w:cs="Times New Roman"/>
                <w:sz w:val="24"/>
                <w:szCs w:val="24"/>
              </w:rPr>
            </w:pPr>
            <w:r>
              <w:rPr>
                <w:rFonts w:ascii="Calibri" w:eastAsia="Calibri" w:hAnsi="Calibri" w:cs="Times New Roman"/>
                <w:sz w:val="24"/>
                <w:szCs w:val="24"/>
              </w:rPr>
              <w:t>HEAD OF SECTOR TECHNOLOGY AND PRIVACY</w:t>
            </w:r>
          </w:p>
        </w:tc>
      </w:tr>
      <w:tr w:rsidR="00DD6623" w:rsidRPr="00DD6623" w14:paraId="251CE3BD" w14:textId="77777777" w:rsidTr="00D21BBD">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bottom w:val="nil"/>
              <w:right w:val="nil"/>
            </w:tcBorders>
          </w:tcPr>
          <w:p w14:paraId="1390626E" w14:textId="77777777" w:rsidR="00DD6623" w:rsidRPr="00DD6623" w:rsidRDefault="00DD6623" w:rsidP="00DD6623">
            <w:pPr>
              <w:rPr>
                <w:rFonts w:ascii="Calibri" w:eastAsia="Calibri" w:hAnsi="Calibri" w:cs="Times New Roman"/>
                <w:sz w:val="24"/>
                <w:szCs w:val="24"/>
              </w:rPr>
            </w:pPr>
          </w:p>
        </w:tc>
      </w:tr>
      <w:tr w:rsidR="00D21BBD" w:rsidRPr="00DD6623" w14:paraId="4CD665DC" w14:textId="77777777" w:rsidTr="00D21BBD">
        <w:tc>
          <w:tcPr>
            <w:tcW w:w="3114" w:type="dxa"/>
            <w:tcBorders>
              <w:top w:val="nil"/>
              <w:left w:val="nil"/>
              <w:bottom w:val="nil"/>
              <w:right w:val="nil"/>
            </w:tcBorders>
          </w:tcPr>
          <w:p w14:paraId="588CE102" w14:textId="77777777" w:rsidR="00D21BBD" w:rsidRDefault="00D21BBD" w:rsidP="00DD6623">
            <w:pPr>
              <w:rPr>
                <w:rFonts w:ascii="Calibri" w:eastAsia="Calibri" w:hAnsi="Calibri" w:cs="Times New Roman"/>
                <w:sz w:val="24"/>
                <w:szCs w:val="24"/>
              </w:rPr>
            </w:pPr>
          </w:p>
        </w:tc>
        <w:tc>
          <w:tcPr>
            <w:tcW w:w="5902" w:type="dxa"/>
            <w:gridSpan w:val="2"/>
            <w:tcBorders>
              <w:top w:val="nil"/>
              <w:left w:val="nil"/>
              <w:bottom w:val="nil"/>
              <w:right w:val="nil"/>
            </w:tcBorders>
          </w:tcPr>
          <w:p w14:paraId="2FA0F4A7" w14:textId="5B139222" w:rsidR="00D21BBD" w:rsidRPr="00DD6623" w:rsidRDefault="00B62861" w:rsidP="00DD6623">
            <w:pPr>
              <w:rPr>
                <w:rFonts w:ascii="Calibri" w:eastAsia="Calibri" w:hAnsi="Calibri" w:cs="Times New Roman"/>
                <w:sz w:val="24"/>
                <w:szCs w:val="24"/>
              </w:rPr>
            </w:pPr>
            <w:hyperlink r:id="rId12" w:history="1">
              <w:r w:rsidR="00D21BBD" w:rsidRPr="00B60DAA">
                <w:rPr>
                  <w:rStyle w:val="Hyperlink"/>
                  <w:rFonts w:ascii="Calibri" w:eastAsia="Calibri" w:hAnsi="Calibri" w:cs="Times New Roman"/>
                  <w:sz w:val="24"/>
                  <w:szCs w:val="24"/>
                </w:rPr>
                <w:t>Dina.kampouraki@edps.europa.eu</w:t>
              </w:r>
            </w:hyperlink>
          </w:p>
        </w:tc>
      </w:tr>
      <w:tr w:rsidR="00D21BBD" w:rsidRPr="00DD6623" w14:paraId="1EC2B5E8" w14:textId="77777777" w:rsidTr="00F5191B">
        <w:tc>
          <w:tcPr>
            <w:tcW w:w="3114" w:type="dxa"/>
            <w:tcBorders>
              <w:top w:val="nil"/>
              <w:left w:val="nil"/>
              <w:bottom w:val="nil"/>
              <w:right w:val="nil"/>
            </w:tcBorders>
          </w:tcPr>
          <w:p w14:paraId="1EB546CE" w14:textId="77777777" w:rsidR="00D21BBD" w:rsidRDefault="00D21BBD" w:rsidP="00DD6623">
            <w:pPr>
              <w:rPr>
                <w:rFonts w:ascii="Calibri" w:eastAsia="Calibri" w:hAnsi="Calibri" w:cs="Times New Roman"/>
                <w:sz w:val="24"/>
                <w:szCs w:val="24"/>
              </w:rPr>
            </w:pPr>
          </w:p>
        </w:tc>
        <w:tc>
          <w:tcPr>
            <w:tcW w:w="5902" w:type="dxa"/>
            <w:gridSpan w:val="2"/>
            <w:tcBorders>
              <w:top w:val="nil"/>
              <w:left w:val="nil"/>
              <w:right w:val="nil"/>
            </w:tcBorders>
          </w:tcPr>
          <w:p w14:paraId="2B6A0EB3" w14:textId="77777777" w:rsidR="00D21BBD" w:rsidRDefault="00D21BBD" w:rsidP="00DD6623">
            <w:pPr>
              <w:rPr>
                <w:rFonts w:ascii="Calibri" w:eastAsia="Calibri" w:hAnsi="Calibri" w:cs="Times New Roman"/>
                <w:sz w:val="24"/>
                <w:szCs w:val="24"/>
              </w:rPr>
            </w:pP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3F0B80AE" w:rsidR="00DD6623" w:rsidRPr="00DD6623" w:rsidRDefault="00D21BB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7AFA99B4" w:rsidR="00DD6623" w:rsidRPr="00DD6623" w:rsidRDefault="00D21BB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5E4CB7B9" w:rsidR="00DD6623" w:rsidRPr="00DD6623" w:rsidRDefault="00D21BB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3C020621"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0EA7DA18" w14:textId="794BDC66" w:rsidR="00DD6623" w:rsidRPr="00DD6623" w:rsidRDefault="00D21BB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49399BB9" w14:textId="08F74D2B" w:rsidR="00DD6623" w:rsidRPr="00DD6623" w:rsidRDefault="00CA1992" w:rsidP="00DD6623">
            <w:pPr>
              <w:rPr>
                <w:rFonts w:ascii="Calibri" w:eastAsia="Calibri" w:hAnsi="Calibri" w:cs="Times New Roman"/>
                <w:sz w:val="24"/>
                <w:szCs w:val="24"/>
              </w:rPr>
            </w:pPr>
            <w:r w:rsidRPr="00CA1992">
              <w:rPr>
                <w:rFonts w:ascii="Calibri" w:eastAsia="Calibri" w:hAnsi="Calibri" w:cs="Times New Roman"/>
                <w:sz w:val="24"/>
                <w:szCs w:val="24"/>
              </w:rPr>
              <w:t xml:space="preserve">In 2024, the EDPS completed two major projects—the </w:t>
            </w:r>
            <w:r w:rsidRPr="00CA1992">
              <w:rPr>
                <w:rFonts w:ascii="Calibri" w:eastAsia="Calibri" w:hAnsi="Calibri" w:cs="Times New Roman"/>
                <w:b/>
                <w:sz w:val="24"/>
                <w:szCs w:val="24"/>
              </w:rPr>
              <w:t>Data Breach Awareness Campaign</w:t>
            </w:r>
            <w:r w:rsidRPr="00CA1992">
              <w:rPr>
                <w:rFonts w:ascii="Calibri" w:eastAsia="Calibri" w:hAnsi="Calibri" w:cs="Times New Roman"/>
                <w:sz w:val="24"/>
                <w:szCs w:val="24"/>
              </w:rPr>
              <w:t xml:space="preserve"> and </w:t>
            </w:r>
            <w:r w:rsidRPr="00CA1992">
              <w:rPr>
                <w:rFonts w:ascii="Calibri" w:eastAsia="Calibri" w:hAnsi="Calibri" w:cs="Times New Roman"/>
                <w:b/>
                <w:sz w:val="24"/>
                <w:szCs w:val="24"/>
              </w:rPr>
              <w:t>Cyberattack Exercise PATRICIA</w:t>
            </w:r>
            <w:r w:rsidRPr="00CA1992">
              <w:rPr>
                <w:rFonts w:ascii="Calibri" w:eastAsia="Calibri" w:hAnsi="Calibri" w:cs="Times New Roman"/>
                <w:sz w:val="24"/>
                <w:szCs w:val="24"/>
              </w:rPr>
              <w:t>—to improve data breach preparedness across EU institutions. The initiatives introduced innovative tools, including the BreachHandling suite with a</w:t>
            </w:r>
            <w:r>
              <w:rPr>
                <w:rFonts w:ascii="Calibri" w:eastAsia="Calibri" w:hAnsi="Calibri" w:cs="Times New Roman"/>
                <w:sz w:val="24"/>
                <w:szCs w:val="24"/>
              </w:rPr>
              <w:t>n</w:t>
            </w:r>
            <w:r w:rsidRPr="00CA1992">
              <w:rPr>
                <w:rFonts w:ascii="Calibri" w:eastAsia="Calibri" w:hAnsi="Calibri" w:cs="Times New Roman"/>
                <w:sz w:val="24"/>
                <w:szCs w:val="24"/>
              </w:rPr>
              <w:t xml:space="preserve"> assessment toolkit and table</w:t>
            </w:r>
            <w:r>
              <w:rPr>
                <w:rFonts w:ascii="Calibri" w:eastAsia="Calibri" w:hAnsi="Calibri" w:cs="Times New Roman"/>
                <w:sz w:val="24"/>
                <w:szCs w:val="24"/>
              </w:rPr>
              <w:t>-</w:t>
            </w:r>
            <w:r w:rsidRPr="00CA1992">
              <w:rPr>
                <w:rFonts w:ascii="Calibri" w:eastAsia="Calibri" w:hAnsi="Calibri" w:cs="Times New Roman"/>
                <w:sz w:val="24"/>
                <w:szCs w:val="24"/>
              </w:rPr>
              <w:t xml:space="preserve">top exercise, to evaluate response maturity and legal compliance. Together, these efforts </w:t>
            </w:r>
            <w:r w:rsidR="00D56D31">
              <w:rPr>
                <w:rFonts w:ascii="Calibri" w:eastAsia="Calibri" w:hAnsi="Calibri" w:cs="Times New Roman"/>
                <w:sz w:val="24"/>
                <w:szCs w:val="24"/>
                <w:lang w:val="en-GB"/>
              </w:rPr>
              <w:t xml:space="preserve">strengthened </w:t>
            </w:r>
            <w:r w:rsidR="00D56D31" w:rsidRPr="00D56D31">
              <w:rPr>
                <w:rFonts w:ascii="Calibri" w:eastAsia="Calibri" w:hAnsi="Calibri" w:cs="Times New Roman"/>
                <w:sz w:val="24"/>
                <w:szCs w:val="24"/>
              </w:rPr>
              <w:t>personal data protection and compliance, promoting a more resilient and coordinated approach to handling data breaches across the EU institutions.</w:t>
            </w:r>
          </w:p>
          <w:p w14:paraId="4217F53A" w14:textId="77777777" w:rsidR="00DD6623" w:rsidRPr="00DD6623" w:rsidRDefault="00DD6623" w:rsidP="00DD662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3F3821B9" w14:textId="2905CCEE" w:rsidR="00A16D28" w:rsidRPr="00D56D31" w:rsidRDefault="00A16D28" w:rsidP="00D56D31">
            <w:pPr>
              <w:rPr>
                <w:rFonts w:ascii="Calibri" w:eastAsia="Calibri" w:hAnsi="Calibri" w:cs="Times New Roman"/>
                <w:sz w:val="24"/>
                <w:szCs w:val="24"/>
              </w:rPr>
            </w:pPr>
            <w:r w:rsidRPr="00A16D28">
              <w:rPr>
                <w:rFonts w:ascii="Calibri" w:eastAsia="Calibri" w:hAnsi="Calibri" w:cs="Times New Roman"/>
                <w:sz w:val="24"/>
                <w:szCs w:val="24"/>
              </w:rPr>
              <w:t xml:space="preserve">In 2024, marking its 20th anniversary, the </w:t>
            </w:r>
            <w:r>
              <w:rPr>
                <w:rFonts w:ascii="Calibri" w:eastAsia="Calibri" w:hAnsi="Calibri" w:cs="Times New Roman"/>
                <w:sz w:val="24"/>
                <w:szCs w:val="24"/>
              </w:rPr>
              <w:t>EDPS</w:t>
            </w:r>
            <w:r w:rsidRPr="00A16D28">
              <w:rPr>
                <w:rFonts w:ascii="Calibri" w:eastAsia="Calibri" w:hAnsi="Calibri" w:cs="Times New Roman"/>
                <w:sz w:val="24"/>
                <w:szCs w:val="24"/>
              </w:rPr>
              <w:t xml:space="preserve"> launched two strategic initiatives to enhance personal data breach management across EU institutions. These initiatives aimed to demystify the breach management process and promote a proactive, transparent, and accountable data protection culture. Both projects were designed in a modular format, allowing them to be adapted and reused in various institutional and international contexts.</w:t>
            </w:r>
          </w:p>
          <w:p w14:paraId="06FCBD3E" w14:textId="77777777" w:rsidR="00A16D28" w:rsidRPr="00D56D31" w:rsidRDefault="00A16D28" w:rsidP="00D56D31">
            <w:pPr>
              <w:rPr>
                <w:rFonts w:ascii="Calibri" w:eastAsia="Calibri" w:hAnsi="Calibri" w:cs="Times New Roman"/>
                <w:sz w:val="24"/>
                <w:szCs w:val="24"/>
              </w:rPr>
            </w:pPr>
          </w:p>
          <w:p w14:paraId="54830BAB" w14:textId="77777777" w:rsidR="00A16D28" w:rsidRDefault="00A16D28" w:rsidP="007700D3">
            <w:pPr>
              <w:rPr>
                <w:rFonts w:ascii="Calibri" w:eastAsia="Calibri" w:hAnsi="Calibri" w:cs="Times New Roman"/>
                <w:sz w:val="24"/>
                <w:szCs w:val="24"/>
              </w:rPr>
            </w:pPr>
            <w:r w:rsidRPr="00A16D28">
              <w:rPr>
                <w:rFonts w:ascii="Calibri" w:eastAsia="Calibri" w:hAnsi="Calibri" w:cs="Times New Roman"/>
                <w:sz w:val="24"/>
                <w:szCs w:val="24"/>
              </w:rPr>
              <w:t xml:space="preserve">The </w:t>
            </w:r>
            <w:r w:rsidRPr="00A16D28">
              <w:rPr>
                <w:rFonts w:ascii="Calibri" w:eastAsia="Calibri" w:hAnsi="Calibri" w:cs="Times New Roman"/>
                <w:b/>
                <w:sz w:val="24"/>
                <w:szCs w:val="24"/>
              </w:rPr>
              <w:t>Data Breach Awareness Campaign,</w:t>
            </w:r>
            <w:r w:rsidRPr="00A16D28">
              <w:rPr>
                <w:rFonts w:ascii="Calibri" w:eastAsia="Calibri" w:hAnsi="Calibri" w:cs="Times New Roman"/>
                <w:sz w:val="24"/>
                <w:szCs w:val="24"/>
              </w:rPr>
              <w:t xml:space="preserve"> targeted at selected participants, was structured to assess existing breach management practices, identify critical areas, evaluate process implementation, and provide tailored recommendations. The project unfolded in four phases:</w:t>
            </w:r>
          </w:p>
          <w:p w14:paraId="274C70ED" w14:textId="57B008A0" w:rsidR="007700D3" w:rsidRPr="007700D3" w:rsidRDefault="007700D3" w:rsidP="007700D3">
            <w:pPr>
              <w:rPr>
                <w:rFonts w:ascii="Calibri" w:eastAsia="Calibri" w:hAnsi="Calibri" w:cs="Times New Roman"/>
                <w:sz w:val="24"/>
                <w:szCs w:val="24"/>
              </w:rPr>
            </w:pPr>
            <w:r w:rsidRPr="007700D3">
              <w:rPr>
                <w:rFonts w:ascii="Calibri" w:eastAsia="Calibri" w:hAnsi="Calibri" w:cs="Times New Roman"/>
                <w:sz w:val="24"/>
                <w:szCs w:val="24"/>
              </w:rPr>
              <w:t>1.</w:t>
            </w:r>
            <w:r w:rsidRPr="007700D3">
              <w:rPr>
                <w:rFonts w:ascii="Calibri" w:eastAsia="Calibri" w:hAnsi="Calibri" w:cs="Times New Roman"/>
                <w:sz w:val="24"/>
                <w:szCs w:val="24"/>
              </w:rPr>
              <w:tab/>
            </w:r>
            <w:r w:rsidR="00A16D28" w:rsidRPr="00A16D28">
              <w:rPr>
                <w:rFonts w:ascii="Calibri" w:eastAsia="Calibri" w:hAnsi="Calibri" w:cs="Times New Roman"/>
                <w:sz w:val="24"/>
                <w:szCs w:val="24"/>
              </w:rPr>
              <w:t>Distribution of two structured questionnaires</w:t>
            </w:r>
          </w:p>
          <w:p w14:paraId="3A95034D" w14:textId="6A5884E1" w:rsidR="007700D3" w:rsidRPr="007700D3" w:rsidRDefault="00A16D28" w:rsidP="007700D3">
            <w:pPr>
              <w:rPr>
                <w:rFonts w:ascii="Calibri" w:eastAsia="Calibri" w:hAnsi="Calibri" w:cs="Times New Roman"/>
                <w:sz w:val="24"/>
                <w:szCs w:val="24"/>
              </w:rPr>
            </w:pPr>
            <w:r>
              <w:rPr>
                <w:rFonts w:ascii="Calibri" w:eastAsia="Calibri" w:hAnsi="Calibri" w:cs="Times New Roman"/>
                <w:sz w:val="24"/>
                <w:szCs w:val="24"/>
              </w:rPr>
              <w:t>2.</w:t>
            </w:r>
            <w:r>
              <w:rPr>
                <w:rFonts w:ascii="Calibri" w:eastAsia="Calibri" w:hAnsi="Calibri" w:cs="Times New Roman"/>
                <w:sz w:val="24"/>
                <w:szCs w:val="24"/>
              </w:rPr>
              <w:tab/>
              <w:t>Data s</w:t>
            </w:r>
            <w:r w:rsidR="007700D3" w:rsidRPr="007700D3">
              <w:rPr>
                <w:rFonts w:ascii="Calibri" w:eastAsia="Calibri" w:hAnsi="Calibri" w:cs="Times New Roman"/>
                <w:sz w:val="24"/>
                <w:szCs w:val="24"/>
              </w:rPr>
              <w:t xml:space="preserve">orting and </w:t>
            </w:r>
            <w:r>
              <w:rPr>
                <w:rFonts w:ascii="Calibri" w:eastAsia="Calibri" w:hAnsi="Calibri" w:cs="Times New Roman"/>
                <w:sz w:val="24"/>
                <w:szCs w:val="24"/>
              </w:rPr>
              <w:t>a</w:t>
            </w:r>
            <w:r w:rsidR="009C53DC">
              <w:rPr>
                <w:rFonts w:ascii="Calibri" w:eastAsia="Calibri" w:hAnsi="Calibri" w:cs="Times New Roman"/>
                <w:sz w:val="24"/>
                <w:szCs w:val="24"/>
              </w:rPr>
              <w:t>ssessment</w:t>
            </w:r>
            <w:r w:rsidR="007700D3">
              <w:rPr>
                <w:rFonts w:ascii="Calibri" w:eastAsia="Calibri" w:hAnsi="Calibri" w:cs="Times New Roman"/>
                <w:sz w:val="24"/>
                <w:szCs w:val="24"/>
              </w:rPr>
              <w:t xml:space="preserve"> </w:t>
            </w:r>
            <w:r w:rsidR="007700D3" w:rsidRPr="007700D3">
              <w:rPr>
                <w:rFonts w:ascii="Calibri" w:eastAsia="Calibri" w:hAnsi="Calibri" w:cs="Times New Roman"/>
                <w:sz w:val="24"/>
                <w:szCs w:val="24"/>
              </w:rPr>
              <w:t xml:space="preserve"> </w:t>
            </w:r>
          </w:p>
          <w:p w14:paraId="01AC6B3B" w14:textId="5B52C3D1" w:rsidR="007700D3" w:rsidRPr="007700D3" w:rsidRDefault="00A16D28" w:rsidP="007700D3">
            <w:pPr>
              <w:rPr>
                <w:rFonts w:ascii="Calibri" w:eastAsia="Calibri" w:hAnsi="Calibri" w:cs="Times New Roman"/>
                <w:sz w:val="24"/>
                <w:szCs w:val="24"/>
              </w:rPr>
            </w:pPr>
            <w:r>
              <w:rPr>
                <w:rFonts w:ascii="Calibri" w:eastAsia="Calibri" w:hAnsi="Calibri" w:cs="Times New Roman"/>
                <w:sz w:val="24"/>
                <w:szCs w:val="24"/>
              </w:rPr>
              <w:t>3.</w:t>
            </w:r>
            <w:r>
              <w:rPr>
                <w:rFonts w:ascii="Calibri" w:eastAsia="Calibri" w:hAnsi="Calibri" w:cs="Times New Roman"/>
                <w:sz w:val="24"/>
                <w:szCs w:val="24"/>
              </w:rPr>
              <w:tab/>
              <w:t>Active c</w:t>
            </w:r>
            <w:r w:rsidR="007700D3" w:rsidRPr="007700D3">
              <w:rPr>
                <w:rFonts w:ascii="Calibri" w:eastAsia="Calibri" w:hAnsi="Calibri" w:cs="Times New Roman"/>
                <w:sz w:val="24"/>
                <w:szCs w:val="24"/>
              </w:rPr>
              <w:t xml:space="preserve">ooperation </w:t>
            </w:r>
            <w:r w:rsidR="007700D3">
              <w:rPr>
                <w:rFonts w:ascii="Calibri" w:eastAsia="Calibri" w:hAnsi="Calibri" w:cs="Times New Roman"/>
                <w:sz w:val="24"/>
                <w:szCs w:val="24"/>
              </w:rPr>
              <w:t>and feedback</w:t>
            </w:r>
          </w:p>
          <w:p w14:paraId="57F8991B" w14:textId="627E46F2" w:rsidR="007700D3" w:rsidRDefault="00A16D28" w:rsidP="007700D3">
            <w:pPr>
              <w:rPr>
                <w:rFonts w:ascii="Calibri" w:eastAsia="Calibri" w:hAnsi="Calibri" w:cs="Times New Roman"/>
                <w:sz w:val="24"/>
                <w:szCs w:val="24"/>
              </w:rPr>
            </w:pPr>
            <w:r>
              <w:rPr>
                <w:rFonts w:ascii="Calibri" w:eastAsia="Calibri" w:hAnsi="Calibri" w:cs="Times New Roman"/>
                <w:sz w:val="24"/>
                <w:szCs w:val="24"/>
              </w:rPr>
              <w:t>4.</w:t>
            </w:r>
            <w:r>
              <w:rPr>
                <w:rFonts w:ascii="Calibri" w:eastAsia="Calibri" w:hAnsi="Calibri" w:cs="Times New Roman"/>
                <w:sz w:val="24"/>
                <w:szCs w:val="24"/>
              </w:rPr>
              <w:tab/>
              <w:t>Final r</w:t>
            </w:r>
            <w:r w:rsidR="007700D3" w:rsidRPr="007700D3">
              <w:rPr>
                <w:rFonts w:ascii="Calibri" w:eastAsia="Calibri" w:hAnsi="Calibri" w:cs="Times New Roman"/>
                <w:sz w:val="24"/>
                <w:szCs w:val="24"/>
              </w:rPr>
              <w:t>eport</w:t>
            </w:r>
            <w:r>
              <w:rPr>
                <w:rFonts w:ascii="Calibri" w:eastAsia="Calibri" w:hAnsi="Calibri" w:cs="Times New Roman"/>
                <w:sz w:val="24"/>
                <w:szCs w:val="24"/>
              </w:rPr>
              <w:t>ing</w:t>
            </w:r>
            <w:r w:rsidR="007700D3" w:rsidRPr="007700D3">
              <w:rPr>
                <w:rFonts w:ascii="Calibri" w:eastAsia="Calibri" w:hAnsi="Calibri" w:cs="Times New Roman"/>
                <w:sz w:val="24"/>
                <w:szCs w:val="24"/>
              </w:rPr>
              <w:t xml:space="preserve"> </w:t>
            </w:r>
          </w:p>
          <w:p w14:paraId="3B4CF6A5" w14:textId="77777777" w:rsidR="007700D3" w:rsidRDefault="007700D3" w:rsidP="00D56D31">
            <w:pPr>
              <w:rPr>
                <w:rFonts w:ascii="Calibri" w:eastAsia="Calibri" w:hAnsi="Calibri" w:cs="Times New Roman"/>
                <w:sz w:val="24"/>
                <w:szCs w:val="24"/>
              </w:rPr>
            </w:pPr>
          </w:p>
          <w:p w14:paraId="50200FF0" w14:textId="498C12EB" w:rsidR="00D56D31" w:rsidRDefault="009C53DC" w:rsidP="00D56D31">
            <w:pPr>
              <w:rPr>
                <w:rFonts w:ascii="Calibri" w:eastAsia="Calibri" w:hAnsi="Calibri" w:cs="Times New Roman"/>
                <w:sz w:val="24"/>
                <w:szCs w:val="24"/>
              </w:rPr>
            </w:pPr>
            <w:r w:rsidRPr="009C53DC">
              <w:rPr>
                <w:rFonts w:ascii="Calibri" w:eastAsia="Calibri" w:hAnsi="Calibri" w:cs="Times New Roman"/>
                <w:noProof/>
                <w:sz w:val="24"/>
                <w:szCs w:val="24"/>
                <w:lang w:val="en-GB" w:eastAsia="en-GB"/>
              </w:rPr>
              <w:drawing>
                <wp:inline distT="0" distB="0" distL="0" distR="0" wp14:anchorId="1DBE8E2D" wp14:editId="32610ECB">
                  <wp:extent cx="3067072" cy="2171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7072" cy="2171716"/>
                          </a:xfrm>
                          <a:prstGeom prst="rect">
                            <a:avLst/>
                          </a:prstGeom>
                        </pic:spPr>
                      </pic:pic>
                    </a:graphicData>
                  </a:graphic>
                </wp:inline>
              </w:drawing>
            </w:r>
          </w:p>
          <w:p w14:paraId="47913719" w14:textId="0D8DF00C" w:rsidR="00D56D31" w:rsidRDefault="00D56D31" w:rsidP="00D56D31">
            <w:pPr>
              <w:rPr>
                <w:rFonts w:ascii="Calibri" w:eastAsia="Calibri" w:hAnsi="Calibri" w:cs="Times New Roman"/>
                <w:sz w:val="24"/>
                <w:szCs w:val="24"/>
              </w:rPr>
            </w:pPr>
          </w:p>
          <w:p w14:paraId="6C8405F2" w14:textId="0D394406" w:rsidR="009C53DC" w:rsidRDefault="00A16D28" w:rsidP="00D56D31">
            <w:pPr>
              <w:rPr>
                <w:rFonts w:ascii="Calibri" w:eastAsia="Calibri" w:hAnsi="Calibri" w:cs="Times New Roman"/>
                <w:sz w:val="24"/>
                <w:szCs w:val="24"/>
              </w:rPr>
            </w:pPr>
            <w:r w:rsidRPr="00A16D28">
              <w:rPr>
                <w:rFonts w:ascii="Calibri" w:eastAsia="Calibri" w:hAnsi="Calibri" w:cs="Times New Roman"/>
                <w:sz w:val="24"/>
                <w:szCs w:val="24"/>
              </w:rPr>
              <w:t xml:space="preserve">A key deliverable was the assessment toolkit, developed by the EDPS to map three core pillars of effective data breach management against relevant data protection </w:t>
            </w:r>
            <w:r w:rsidRPr="00A16D28">
              <w:rPr>
                <w:rFonts w:ascii="Calibri" w:eastAsia="Calibri" w:hAnsi="Calibri" w:cs="Times New Roman"/>
                <w:sz w:val="24"/>
                <w:szCs w:val="24"/>
              </w:rPr>
              <w:lastRenderedPageBreak/>
              <w:t xml:space="preserve">requirements. Information gathered during the survey phase </w:t>
            </w:r>
            <w:r w:rsidR="00D927B9">
              <w:rPr>
                <w:rFonts w:ascii="Calibri" w:eastAsia="Calibri" w:hAnsi="Calibri" w:cs="Times New Roman"/>
                <w:sz w:val="24"/>
                <w:szCs w:val="24"/>
              </w:rPr>
              <w:t>fed</w:t>
            </w:r>
            <w:r w:rsidRPr="00A16D28">
              <w:rPr>
                <w:rFonts w:ascii="Calibri" w:eastAsia="Calibri" w:hAnsi="Calibri" w:cs="Times New Roman"/>
                <w:sz w:val="24"/>
                <w:szCs w:val="24"/>
              </w:rPr>
              <w:t xml:space="preserve"> the subsequent stages, enabling tailored analysis. </w:t>
            </w:r>
          </w:p>
          <w:p w14:paraId="4528399E" w14:textId="77777777" w:rsidR="00A16D28" w:rsidRDefault="00A16D28" w:rsidP="00D56D31">
            <w:pPr>
              <w:rPr>
                <w:rFonts w:ascii="Calibri" w:eastAsia="Calibri" w:hAnsi="Calibri" w:cs="Times New Roman"/>
                <w:sz w:val="24"/>
                <w:szCs w:val="24"/>
              </w:rPr>
            </w:pPr>
          </w:p>
          <w:p w14:paraId="75DAC481" w14:textId="059AA387" w:rsidR="009C53DC" w:rsidRDefault="002D51C5" w:rsidP="00D56D31">
            <w:pPr>
              <w:rPr>
                <w:rFonts w:ascii="Calibri" w:eastAsia="Calibri" w:hAnsi="Calibri" w:cs="Times New Roman"/>
                <w:sz w:val="24"/>
                <w:szCs w:val="24"/>
              </w:rPr>
            </w:pPr>
            <w:r w:rsidRPr="002D51C5">
              <w:rPr>
                <w:rFonts w:ascii="Calibri" w:eastAsia="Calibri" w:hAnsi="Calibri" w:cs="Times New Roman"/>
                <w:noProof/>
                <w:sz w:val="24"/>
                <w:szCs w:val="24"/>
                <w:lang w:val="en-GB" w:eastAsia="en-GB"/>
              </w:rPr>
              <w:drawing>
                <wp:inline distT="0" distB="0" distL="0" distR="0" wp14:anchorId="18803661" wp14:editId="09B2F3E5">
                  <wp:extent cx="3505226" cy="2190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226" cy="2190766"/>
                          </a:xfrm>
                          <a:prstGeom prst="rect">
                            <a:avLst/>
                          </a:prstGeom>
                        </pic:spPr>
                      </pic:pic>
                    </a:graphicData>
                  </a:graphic>
                </wp:inline>
              </w:drawing>
            </w:r>
          </w:p>
          <w:p w14:paraId="0966D44A" w14:textId="77728083" w:rsidR="009C53DC" w:rsidRDefault="00A16D28" w:rsidP="00D56D31">
            <w:pPr>
              <w:rPr>
                <w:rFonts w:ascii="Calibri" w:eastAsia="Calibri" w:hAnsi="Calibri" w:cs="Times New Roman"/>
                <w:sz w:val="24"/>
                <w:szCs w:val="24"/>
              </w:rPr>
            </w:pPr>
            <w:r w:rsidRPr="00A16D28">
              <w:rPr>
                <w:rFonts w:ascii="Calibri" w:eastAsia="Calibri" w:hAnsi="Calibri" w:cs="Times New Roman"/>
                <w:sz w:val="24"/>
                <w:szCs w:val="24"/>
              </w:rPr>
              <w:t>Each participant received a spider chart summarising strengths and weaknesses, along with concrete recommendations to improve compliance and accountability. Beyond individual assessments, the EDPS identified broader findings relevant across the EU institutional landscape.</w:t>
            </w:r>
          </w:p>
          <w:p w14:paraId="55386A12" w14:textId="6B5E6D48" w:rsidR="009C53DC" w:rsidRDefault="009C53DC" w:rsidP="00D56D31">
            <w:pPr>
              <w:rPr>
                <w:rFonts w:ascii="Calibri" w:eastAsia="Calibri" w:hAnsi="Calibri" w:cs="Times New Roman"/>
                <w:sz w:val="24"/>
                <w:szCs w:val="24"/>
              </w:rPr>
            </w:pPr>
            <w:r w:rsidRPr="009C53DC">
              <w:rPr>
                <w:rFonts w:ascii="Calibri" w:eastAsia="Calibri" w:hAnsi="Calibri" w:cs="Times New Roman"/>
                <w:noProof/>
                <w:sz w:val="24"/>
                <w:szCs w:val="24"/>
                <w:lang w:val="en-GB" w:eastAsia="en-GB"/>
              </w:rPr>
              <w:drawing>
                <wp:inline distT="0" distB="0" distL="0" distR="0" wp14:anchorId="209363F6" wp14:editId="516E9122">
                  <wp:extent cx="3552851" cy="267654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2851" cy="2676545"/>
                          </a:xfrm>
                          <a:prstGeom prst="rect">
                            <a:avLst/>
                          </a:prstGeom>
                        </pic:spPr>
                      </pic:pic>
                    </a:graphicData>
                  </a:graphic>
                </wp:inline>
              </w:drawing>
            </w:r>
          </w:p>
          <w:p w14:paraId="7943CAB0" w14:textId="29893DEF" w:rsidR="00D56D31" w:rsidRDefault="00D56D31" w:rsidP="00D56D31">
            <w:pPr>
              <w:rPr>
                <w:rFonts w:ascii="Calibri" w:eastAsia="Calibri" w:hAnsi="Calibri" w:cs="Times New Roman"/>
                <w:sz w:val="24"/>
                <w:szCs w:val="24"/>
              </w:rPr>
            </w:pPr>
          </w:p>
          <w:p w14:paraId="1119CFFF" w14:textId="0CD8CEFE" w:rsidR="00A16D28" w:rsidRDefault="00A16D28" w:rsidP="00D56D31">
            <w:pPr>
              <w:rPr>
                <w:rFonts w:ascii="Calibri" w:eastAsia="Calibri" w:hAnsi="Calibri" w:cs="Times New Roman"/>
                <w:sz w:val="24"/>
                <w:szCs w:val="24"/>
              </w:rPr>
            </w:pPr>
          </w:p>
          <w:p w14:paraId="7489A283" w14:textId="03195AF1" w:rsidR="00A16D28" w:rsidRDefault="00A16D28" w:rsidP="00D56D31">
            <w:pPr>
              <w:rPr>
                <w:rFonts w:ascii="Calibri" w:eastAsia="Calibri" w:hAnsi="Calibri" w:cs="Times New Roman"/>
                <w:sz w:val="24"/>
                <w:szCs w:val="24"/>
              </w:rPr>
            </w:pPr>
            <w:r w:rsidRPr="00A16D28">
              <w:rPr>
                <w:rFonts w:ascii="Calibri" w:eastAsia="Calibri" w:hAnsi="Calibri" w:cs="Times New Roman"/>
                <w:sz w:val="24"/>
                <w:szCs w:val="24"/>
              </w:rPr>
              <w:t xml:space="preserve">The second initiative, </w:t>
            </w:r>
            <w:r w:rsidRPr="00A16D28">
              <w:rPr>
                <w:rFonts w:ascii="Calibri" w:eastAsia="Calibri" w:hAnsi="Calibri" w:cs="Times New Roman"/>
                <w:b/>
                <w:sz w:val="24"/>
                <w:szCs w:val="24"/>
              </w:rPr>
              <w:t>PATRICIA (Personal dATa bReach awareness In Cybersecurity Incident hAndling)</w:t>
            </w:r>
            <w:r w:rsidRPr="00A16D28">
              <w:rPr>
                <w:rFonts w:ascii="Calibri" w:eastAsia="Calibri" w:hAnsi="Calibri" w:cs="Times New Roman"/>
                <w:sz w:val="24"/>
                <w:szCs w:val="24"/>
              </w:rPr>
              <w:t>, was a table-top exercise simulating a fictional personal data breach. Participants—including Data Protection Officers, IT managers, and Security Officers—were invited to respond collaboratively to the incident through three structured phases. This interactive scenario encouraged participants to apply their institution’s internal procedures, identify potential gaps, and reinforce interdepartmental cooperation. The exercise also served as a platform for peer learning and the exchange of best practices.</w:t>
            </w:r>
          </w:p>
          <w:p w14:paraId="2F860631" w14:textId="77777777" w:rsidR="00A16D28" w:rsidRDefault="00A16D28" w:rsidP="00D56D31">
            <w:pPr>
              <w:rPr>
                <w:rFonts w:ascii="Calibri" w:eastAsia="Calibri" w:hAnsi="Calibri" w:cs="Times New Roman"/>
                <w:sz w:val="24"/>
                <w:szCs w:val="24"/>
              </w:rPr>
            </w:pPr>
          </w:p>
          <w:p w14:paraId="186FA2F0" w14:textId="68A0D9E5" w:rsidR="00D42B5B" w:rsidRDefault="00A16D28" w:rsidP="007A3298">
            <w:pPr>
              <w:rPr>
                <w:rFonts w:ascii="Calibri" w:eastAsia="Calibri" w:hAnsi="Calibri" w:cs="Times New Roman"/>
                <w:sz w:val="24"/>
                <w:szCs w:val="24"/>
              </w:rPr>
            </w:pPr>
            <w:r w:rsidRPr="00A16D28">
              <w:rPr>
                <w:rFonts w:ascii="Calibri" w:eastAsia="Calibri" w:hAnsi="Calibri" w:cs="Times New Roman"/>
                <w:sz w:val="24"/>
                <w:szCs w:val="24"/>
              </w:rPr>
              <w:t>Together, these initiatives advanced the principles of accountability, data protection by design, and risk-based personal data breach management. By empowering institutions to respond to breaches more effectively and with greater awareness, the EDPS reaffirmed its commitment to protecting fundamental rights in the digital age.</w:t>
            </w:r>
          </w:p>
          <w:p w14:paraId="10282A6C" w14:textId="1970D387" w:rsidR="00E66F75" w:rsidRPr="00DD6623" w:rsidRDefault="00E66F75" w:rsidP="007A3298">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00D927B9">
        <w:trPr>
          <w:trHeight w:val="734"/>
        </w:trPr>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FAF9872" w14:textId="3A96E5B4" w:rsidR="00D927B9" w:rsidRPr="00D927B9" w:rsidRDefault="00D927B9" w:rsidP="00D927B9">
            <w:pPr>
              <w:rPr>
                <w:rFonts w:ascii="Calibri" w:eastAsia="Calibri" w:hAnsi="Calibri" w:cs="Times New Roman"/>
                <w:sz w:val="24"/>
                <w:szCs w:val="24"/>
              </w:rPr>
            </w:pPr>
            <w:r w:rsidRPr="00D927B9">
              <w:rPr>
                <w:rFonts w:ascii="Calibri" w:eastAsia="Calibri" w:hAnsi="Calibri" w:cs="Times New Roman"/>
                <w:sz w:val="24"/>
                <w:szCs w:val="24"/>
              </w:rPr>
              <w:t>The EDPS considers that, through these initiatives, it provided practical and targeted guidance on personal data breach management to the participants, supporting them in understanding and fulfilling their legal responsibilities. The focus was placed on internal processes, while fostering a culture of transparency and accountability. Strengthening preparedness, empowering Data Protection Officers and IT professionals, and advancing a resilient and compliant data protection framework remain core objectives in safeguarding fundamental rights in the digital era. The overall outcome of the initiatives led to specific recommendations t</w:t>
            </w:r>
            <w:r>
              <w:rPr>
                <w:rFonts w:ascii="Calibri" w:eastAsia="Calibri" w:hAnsi="Calibri" w:cs="Times New Roman"/>
                <w:sz w:val="24"/>
                <w:szCs w:val="24"/>
              </w:rPr>
              <w:t>o facilitate compliance under data protection law</w:t>
            </w:r>
            <w:r w:rsidRPr="00D927B9">
              <w:rPr>
                <w:rFonts w:ascii="Calibri" w:eastAsia="Calibri" w:hAnsi="Calibri" w:cs="Times New Roman"/>
                <w:sz w:val="24"/>
                <w:szCs w:val="24"/>
              </w:rPr>
              <w:t>. The EDPS received highly positive feedback on both projects.</w:t>
            </w:r>
          </w:p>
          <w:p w14:paraId="6E783C4E" w14:textId="77777777" w:rsidR="00D927B9" w:rsidRPr="00D927B9" w:rsidRDefault="00D927B9" w:rsidP="00D927B9">
            <w:pPr>
              <w:rPr>
                <w:rFonts w:ascii="Calibri" w:eastAsia="Calibri" w:hAnsi="Calibri" w:cs="Times New Roman"/>
                <w:sz w:val="24"/>
                <w:szCs w:val="24"/>
              </w:rPr>
            </w:pPr>
          </w:p>
          <w:p w14:paraId="15AE75F3" w14:textId="77777777" w:rsidR="00D927B9" w:rsidRPr="00D927B9" w:rsidRDefault="00D927B9" w:rsidP="00D927B9">
            <w:pPr>
              <w:rPr>
                <w:rFonts w:ascii="Calibri" w:eastAsia="Calibri" w:hAnsi="Calibri" w:cs="Times New Roman"/>
                <w:sz w:val="24"/>
                <w:szCs w:val="24"/>
              </w:rPr>
            </w:pPr>
            <w:r w:rsidRPr="00D927B9">
              <w:rPr>
                <w:rFonts w:ascii="Calibri" w:eastAsia="Calibri" w:hAnsi="Calibri" w:cs="Times New Roman"/>
                <w:sz w:val="24"/>
                <w:szCs w:val="24"/>
              </w:rPr>
              <w:t>Moreover, both projects are adaptable to a wide range of contexts and may be replicated by other stakeholders. The EDPS is able to provide supporting materials upon request. In particular, the assessment toolkit developed during these initiatives holds potential for further development, with the aim of transforming it into an automated tool accessible to all data controllers in future.</w:t>
            </w:r>
          </w:p>
          <w:p w14:paraId="60EF9742" w14:textId="77777777" w:rsidR="00D927B9" w:rsidRPr="00D927B9" w:rsidRDefault="00D927B9" w:rsidP="00D927B9">
            <w:pPr>
              <w:rPr>
                <w:rFonts w:ascii="Calibri" w:eastAsia="Calibri" w:hAnsi="Calibri" w:cs="Times New Roman"/>
                <w:sz w:val="24"/>
                <w:szCs w:val="24"/>
              </w:rPr>
            </w:pPr>
          </w:p>
          <w:p w14:paraId="4120D298" w14:textId="628AB0B7" w:rsidR="00E552B3" w:rsidRPr="00DD6623" w:rsidRDefault="00D927B9" w:rsidP="00D927B9">
            <w:pPr>
              <w:rPr>
                <w:rFonts w:ascii="Calibri" w:eastAsia="Calibri" w:hAnsi="Calibri" w:cs="Times New Roman"/>
                <w:sz w:val="24"/>
                <w:szCs w:val="24"/>
              </w:rPr>
            </w:pPr>
            <w:r w:rsidRPr="00D927B9">
              <w:rPr>
                <w:rFonts w:ascii="Calibri" w:eastAsia="Calibri" w:hAnsi="Calibri" w:cs="Times New Roman"/>
                <w:sz w:val="24"/>
                <w:szCs w:val="24"/>
              </w:rPr>
              <w:t>Notably, the PATRICIA project was repeated in 2025 with updated and enriched content, reflecting the continued value and impact of this initiative.</w:t>
            </w:r>
          </w:p>
        </w:tc>
      </w:tr>
    </w:tbl>
    <w:p w14:paraId="4E000140" w14:textId="2F1EEA81" w:rsidR="00DD6623" w:rsidRPr="00DD6623" w:rsidRDefault="0002354C" w:rsidP="00DD6623">
      <w:pPr>
        <w:spacing w:after="0"/>
        <w:rPr>
          <w:rFonts w:ascii="Verdana" w:eastAsia="Calibri" w:hAnsi="Verdana" w:cs="Times New Roman"/>
          <w:sz w:val="24"/>
          <w:lang w:val="en-GB"/>
        </w:rPr>
      </w:pPr>
      <w:r>
        <w:rPr>
          <w:rFonts w:ascii="Verdana" w:eastAsia="Calibri" w:hAnsi="Verdana" w:cs="Times New Roman"/>
          <w:sz w:val="24"/>
          <w:lang w:val="en-GB"/>
        </w:rPr>
        <w:t>`</w:t>
      </w: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009C53DC">
        <w:tc>
          <w:tcPr>
            <w:tcW w:w="9021"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9C53DC">
        <w:tc>
          <w:tcPr>
            <w:tcW w:w="9021" w:type="dxa"/>
            <w:tcBorders>
              <w:left w:val="single" w:sz="4" w:space="0" w:color="auto"/>
              <w:right w:val="single" w:sz="4" w:space="0" w:color="auto"/>
            </w:tcBorders>
          </w:tcPr>
          <w:p w14:paraId="4B72FE74" w14:textId="7892E1E7" w:rsidR="00DD6623" w:rsidRPr="00DD6623" w:rsidRDefault="00745D66" w:rsidP="00DD6623">
            <w:pPr>
              <w:rPr>
                <w:rFonts w:ascii="Calibri" w:eastAsia="Calibri" w:hAnsi="Calibri" w:cs="Times New Roman"/>
                <w:sz w:val="24"/>
                <w:szCs w:val="24"/>
              </w:rPr>
            </w:pPr>
            <w:r w:rsidRPr="00745D66">
              <w:rPr>
                <w:rFonts w:ascii="Calibri" w:eastAsia="Calibri" w:hAnsi="Calibri" w:cs="Times New Roman"/>
                <w:noProof/>
                <w:sz w:val="24"/>
                <w:szCs w:val="24"/>
                <w:lang w:val="en-GB" w:eastAsia="en-GB"/>
              </w:rPr>
              <w:drawing>
                <wp:inline distT="0" distB="0" distL="0" distR="0" wp14:anchorId="35F1494A" wp14:editId="049564CB">
                  <wp:extent cx="4171981" cy="1704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1981" cy="1704987"/>
                          </a:xfrm>
                          <a:prstGeom prst="rect">
                            <a:avLst/>
                          </a:prstGeom>
                        </pic:spPr>
                      </pic:pic>
                    </a:graphicData>
                  </a:graphic>
                </wp:inline>
              </w:drawing>
            </w:r>
          </w:p>
          <w:p w14:paraId="4CB9753F" w14:textId="3B3344F7" w:rsidR="007700D3" w:rsidRDefault="00911630" w:rsidP="00DD6623">
            <w:pPr>
              <w:rPr>
                <w:rFonts w:ascii="Calibri" w:eastAsia="Calibri" w:hAnsi="Calibri" w:cs="Times New Roman"/>
                <w:sz w:val="24"/>
                <w:szCs w:val="24"/>
              </w:rPr>
            </w:pPr>
            <w:r w:rsidRPr="00911630">
              <w:rPr>
                <w:rFonts w:ascii="Calibri" w:eastAsia="Calibri" w:hAnsi="Calibri" w:cs="Times New Roman"/>
                <w:noProof/>
                <w:sz w:val="24"/>
                <w:szCs w:val="24"/>
                <w:lang w:val="en-GB" w:eastAsia="en-GB"/>
              </w:rPr>
              <w:drawing>
                <wp:inline distT="0" distB="0" distL="0" distR="0" wp14:anchorId="0F0A241C" wp14:editId="1317FE85">
                  <wp:extent cx="5731510" cy="19850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85010"/>
                          </a:xfrm>
                          <a:prstGeom prst="rect">
                            <a:avLst/>
                          </a:prstGeom>
                        </pic:spPr>
                      </pic:pic>
                    </a:graphicData>
                  </a:graphic>
                </wp:inline>
              </w:drawing>
            </w:r>
          </w:p>
          <w:p w14:paraId="38E99218" w14:textId="662335DF" w:rsidR="00911630" w:rsidRDefault="00BF5356" w:rsidP="00DD6623">
            <w:pPr>
              <w:rPr>
                <w:rFonts w:ascii="Calibri" w:eastAsia="Calibri" w:hAnsi="Calibri" w:cs="Times New Roman"/>
                <w:sz w:val="24"/>
                <w:szCs w:val="24"/>
              </w:rPr>
            </w:pPr>
            <w:r w:rsidRPr="00BF5356">
              <w:rPr>
                <w:rFonts w:ascii="Calibri" w:eastAsia="Calibri" w:hAnsi="Calibri" w:cs="Times New Roman"/>
                <w:noProof/>
                <w:sz w:val="24"/>
                <w:szCs w:val="24"/>
                <w:lang w:val="en-GB" w:eastAsia="en-GB"/>
              </w:rPr>
              <w:lastRenderedPageBreak/>
              <w:drawing>
                <wp:inline distT="0" distB="0" distL="0" distR="0" wp14:anchorId="2D2E2F10" wp14:editId="7DEBA4F4">
                  <wp:extent cx="3357562" cy="3301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203" cy="3306309"/>
                          </a:xfrm>
                          <a:prstGeom prst="rect">
                            <a:avLst/>
                          </a:prstGeom>
                          <a:noFill/>
                          <a:ln>
                            <a:noFill/>
                          </a:ln>
                        </pic:spPr>
                      </pic:pic>
                    </a:graphicData>
                  </a:graphic>
                </wp:inline>
              </w:drawing>
            </w:r>
          </w:p>
          <w:p w14:paraId="6FD687DF" w14:textId="0E521466" w:rsidR="00BF5356" w:rsidRDefault="00BF5356" w:rsidP="00DD6623">
            <w:pPr>
              <w:rPr>
                <w:rFonts w:ascii="Calibri" w:eastAsia="Calibri" w:hAnsi="Calibri" w:cs="Times New Roman"/>
                <w:sz w:val="24"/>
                <w:szCs w:val="24"/>
              </w:rPr>
            </w:pPr>
            <w:r w:rsidRPr="00BF5356">
              <w:rPr>
                <w:rFonts w:ascii="Calibri" w:eastAsia="Calibri" w:hAnsi="Calibri" w:cs="Times New Roman"/>
                <w:noProof/>
                <w:sz w:val="24"/>
                <w:szCs w:val="24"/>
                <w:lang w:val="en-GB" w:eastAsia="en-GB"/>
              </w:rPr>
              <w:drawing>
                <wp:inline distT="0" distB="0" distL="0" distR="0" wp14:anchorId="16741BF1" wp14:editId="242EE20E">
                  <wp:extent cx="3989364" cy="30241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5992" cy="3029213"/>
                          </a:xfrm>
                          <a:prstGeom prst="rect">
                            <a:avLst/>
                          </a:prstGeom>
                          <a:noFill/>
                          <a:ln>
                            <a:noFill/>
                          </a:ln>
                        </pic:spPr>
                      </pic:pic>
                    </a:graphicData>
                  </a:graphic>
                </wp:inline>
              </w:drawing>
            </w:r>
          </w:p>
          <w:p w14:paraId="611D79FA" w14:textId="77777777" w:rsidR="00911630" w:rsidRDefault="00911630" w:rsidP="00DD6623">
            <w:pPr>
              <w:rPr>
                <w:rFonts w:ascii="Calibri" w:eastAsia="Calibri" w:hAnsi="Calibri" w:cs="Times New Roman"/>
                <w:sz w:val="24"/>
                <w:szCs w:val="24"/>
              </w:rPr>
            </w:pPr>
          </w:p>
          <w:p w14:paraId="653B14FE" w14:textId="50A107EA" w:rsidR="007700D3" w:rsidRPr="00DD6623" w:rsidRDefault="007700D3" w:rsidP="00DD6623">
            <w:pPr>
              <w:rPr>
                <w:rFonts w:ascii="Calibri" w:eastAsia="Calibri" w:hAnsi="Calibri" w:cs="Times New Roman"/>
                <w:sz w:val="24"/>
                <w:szCs w:val="24"/>
              </w:rPr>
            </w:pPr>
          </w:p>
        </w:tc>
      </w:tr>
    </w:tbl>
    <w:p w14:paraId="15F92095" w14:textId="33E710EE"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7777777" w:rsidR="00DD6623" w:rsidRPr="00DD6623" w:rsidRDefault="00DD6623" w:rsidP="00DD6623">
            <w:pPr>
              <w:rPr>
                <w:rFonts w:ascii="Calibri" w:eastAsia="Calibri" w:hAnsi="Calibri" w:cs="Times New Roman"/>
                <w:i/>
                <w:iCs/>
                <w:sz w:val="24"/>
                <w:szCs w:val="24"/>
              </w:rPr>
            </w:pPr>
          </w:p>
          <w:p w14:paraId="57AF87D2" w14:textId="57DD4576" w:rsidR="00DD6623" w:rsidRPr="00DD6623" w:rsidRDefault="000A767B" w:rsidP="00DD6623">
            <w:pPr>
              <w:rPr>
                <w:rFonts w:ascii="Calibri" w:eastAsia="Calibri" w:hAnsi="Calibri" w:cs="Times New Roman"/>
                <w:sz w:val="24"/>
                <w:szCs w:val="24"/>
              </w:rPr>
            </w:pPr>
            <w:r>
              <w:rPr>
                <w:rFonts w:ascii="Calibri" w:eastAsia="Calibri" w:hAnsi="Calibri" w:cs="Times New Roman"/>
                <w:sz w:val="24"/>
                <w:szCs w:val="24"/>
              </w:rPr>
              <w:t xml:space="preserve">1. Patricia: </w:t>
            </w:r>
            <w:hyperlink r:id="rId20" w:history="1">
              <w:r w:rsidRPr="002253CE">
                <w:rPr>
                  <w:rStyle w:val="Hyperlink"/>
                  <w:rFonts w:ascii="Calibri" w:eastAsia="Calibri" w:hAnsi="Calibri" w:cs="Times New Roman"/>
                  <w:sz w:val="24"/>
                  <w:szCs w:val="24"/>
                </w:rPr>
                <w:t>https://www.edps.europa.eu/data-protection/our-work/publications/reports/2024-12-12-patricia-exercise-2024-personal-data-breach-awareness-cybersecurity-incident-handling_en</w:t>
              </w:r>
            </w:hyperlink>
            <w:r>
              <w:rPr>
                <w:rFonts w:ascii="Calibri" w:eastAsia="Calibri" w:hAnsi="Calibri" w:cs="Times New Roman"/>
                <w:sz w:val="24"/>
                <w:szCs w:val="24"/>
              </w:rPr>
              <w:t xml:space="preserve"> </w:t>
            </w:r>
          </w:p>
          <w:p w14:paraId="03FA6513" w14:textId="40A6EC85" w:rsidR="00DD6623" w:rsidRDefault="00DD6623" w:rsidP="00DD6623">
            <w:pPr>
              <w:rPr>
                <w:rFonts w:ascii="Calibri" w:eastAsia="Calibri" w:hAnsi="Calibri" w:cs="Times New Roman"/>
                <w:sz w:val="24"/>
                <w:szCs w:val="24"/>
              </w:rPr>
            </w:pPr>
          </w:p>
          <w:p w14:paraId="5ECC85A7" w14:textId="602910B4" w:rsidR="000A767B" w:rsidRPr="00DD6623" w:rsidRDefault="000A767B" w:rsidP="00DD6623">
            <w:pPr>
              <w:rPr>
                <w:rFonts w:ascii="Calibri" w:eastAsia="Calibri" w:hAnsi="Calibri" w:cs="Times New Roman"/>
                <w:sz w:val="24"/>
                <w:szCs w:val="24"/>
              </w:rPr>
            </w:pPr>
            <w:r>
              <w:rPr>
                <w:rFonts w:ascii="Calibri" w:eastAsia="Calibri" w:hAnsi="Calibri" w:cs="Times New Roman"/>
                <w:sz w:val="24"/>
                <w:szCs w:val="24"/>
              </w:rPr>
              <w:t xml:space="preserve">2. Data Breach Awareness Campaign: </w:t>
            </w:r>
            <w:hyperlink r:id="rId21" w:history="1">
              <w:r w:rsidRPr="002253CE">
                <w:rPr>
                  <w:rStyle w:val="Hyperlink"/>
                  <w:rFonts w:ascii="Calibri" w:eastAsia="Calibri" w:hAnsi="Calibri" w:cs="Times New Roman"/>
                  <w:sz w:val="24"/>
                  <w:szCs w:val="24"/>
                </w:rPr>
                <w:t>https://www.edps.europa.eu/data-protection/our-work/publications/reports/2024-12-11-edps-campaign-raising-awareness-personal-data-breaches_en</w:t>
              </w:r>
            </w:hyperlink>
            <w:r>
              <w:rPr>
                <w:rFonts w:ascii="Calibri" w:eastAsia="Calibri" w:hAnsi="Calibri" w:cs="Times New Roman"/>
                <w:sz w:val="24"/>
                <w:szCs w:val="24"/>
              </w:rPr>
              <w:t xml:space="preserve"> </w:t>
            </w:r>
          </w:p>
          <w:p w14:paraId="50FFE74E" w14:textId="2C633A7E" w:rsidR="00DD6623" w:rsidRDefault="00DD6623" w:rsidP="00DD6623">
            <w:pPr>
              <w:rPr>
                <w:rFonts w:ascii="Calibri" w:eastAsia="Calibri" w:hAnsi="Calibri" w:cs="Times New Roman"/>
                <w:i/>
                <w:iCs/>
                <w:sz w:val="24"/>
                <w:szCs w:val="24"/>
              </w:rPr>
            </w:pPr>
          </w:p>
          <w:p w14:paraId="75C7CA63" w14:textId="089341A3" w:rsidR="00911630" w:rsidRDefault="00B62861" w:rsidP="00DD6623">
            <w:pPr>
              <w:rPr>
                <w:rFonts w:ascii="Calibri" w:eastAsia="Calibri" w:hAnsi="Calibri" w:cs="Times New Roman"/>
                <w:i/>
                <w:iCs/>
                <w:sz w:val="24"/>
                <w:szCs w:val="24"/>
              </w:rPr>
            </w:pPr>
            <w:hyperlink r:id="rId22" w:history="1">
              <w:r w:rsidR="00911630" w:rsidRPr="004E47DE">
                <w:rPr>
                  <w:rStyle w:val="Hyperlink"/>
                  <w:rFonts w:ascii="Calibri" w:eastAsia="Calibri" w:hAnsi="Calibri" w:cs="Times New Roman"/>
                  <w:i/>
                  <w:iCs/>
                  <w:sz w:val="24"/>
                  <w:szCs w:val="24"/>
                </w:rPr>
                <w:t>https://20years.edps.europa.eu/en/initiatives/raising-awareness-personal-data-breaches.html</w:t>
              </w:r>
            </w:hyperlink>
            <w:r w:rsidR="00911630">
              <w:rPr>
                <w:rFonts w:ascii="Calibri" w:eastAsia="Calibri" w:hAnsi="Calibri" w:cs="Times New Roman"/>
                <w:i/>
                <w:iCs/>
                <w:sz w:val="24"/>
                <w:szCs w:val="24"/>
              </w:rPr>
              <w:t xml:space="preserve"> </w:t>
            </w:r>
          </w:p>
          <w:p w14:paraId="1449B048" w14:textId="77777777" w:rsidR="00911630" w:rsidRDefault="00911630" w:rsidP="00DD6623">
            <w:pPr>
              <w:rPr>
                <w:rFonts w:ascii="Calibri" w:eastAsia="Calibri" w:hAnsi="Calibri" w:cs="Times New Roman"/>
                <w:i/>
                <w:iCs/>
                <w:sz w:val="24"/>
                <w:szCs w:val="24"/>
              </w:rPr>
            </w:pPr>
          </w:p>
          <w:p w14:paraId="38043EF4" w14:textId="5106E0E0" w:rsidR="0002354C" w:rsidRPr="0002354C" w:rsidRDefault="0002354C" w:rsidP="00DD6623">
            <w:pPr>
              <w:rPr>
                <w:rFonts w:ascii="Calibri" w:eastAsia="Calibri" w:hAnsi="Calibri" w:cs="Times New Roman"/>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5E3499F6" w14:textId="4189FAF5" w:rsidR="00DD6623" w:rsidRPr="00360672" w:rsidRDefault="00360672" w:rsidP="00DD6623">
            <w:pPr>
              <w:rPr>
                <w:rFonts w:ascii="Calibri" w:eastAsia="Calibri" w:hAnsi="Calibri" w:cs="Times New Roman"/>
                <w:iCs/>
                <w:sz w:val="24"/>
                <w:szCs w:val="24"/>
              </w:rPr>
            </w:pPr>
            <w:r w:rsidRPr="00360672">
              <w:rPr>
                <w:rFonts w:ascii="Calibri" w:eastAsia="Calibri" w:hAnsi="Calibri" w:cs="Times New Roman"/>
                <w:iCs/>
                <w:sz w:val="24"/>
                <w:szCs w:val="24"/>
              </w:rPr>
              <w:t xml:space="preserve">As it was a restricted/non-public events, no </w:t>
            </w:r>
            <w:r w:rsidR="00502B23">
              <w:rPr>
                <w:rFonts w:ascii="Calibri" w:eastAsia="Calibri" w:hAnsi="Calibri" w:cs="Times New Roman"/>
                <w:iCs/>
                <w:sz w:val="24"/>
                <w:szCs w:val="24"/>
              </w:rPr>
              <w:t xml:space="preserve">public </w:t>
            </w:r>
            <w:r w:rsidRPr="00360672">
              <w:rPr>
                <w:rFonts w:ascii="Calibri" w:eastAsia="Calibri" w:hAnsi="Calibri" w:cs="Times New Roman"/>
                <w:iCs/>
                <w:sz w:val="24"/>
                <w:szCs w:val="24"/>
              </w:rPr>
              <w:t>press coverage is available.</w:t>
            </w:r>
          </w:p>
          <w:p w14:paraId="230354C0" w14:textId="73FD4860" w:rsidR="00DD6623" w:rsidRDefault="00DD6623" w:rsidP="00DD6623">
            <w:pPr>
              <w:rPr>
                <w:rFonts w:ascii="Calibri" w:eastAsia="Calibri" w:hAnsi="Calibri" w:cs="Times New Roman"/>
                <w:sz w:val="24"/>
                <w:szCs w:val="24"/>
              </w:rPr>
            </w:pPr>
          </w:p>
          <w:p w14:paraId="56CE835C" w14:textId="57457041" w:rsidR="00AB7785" w:rsidRDefault="00AB7785" w:rsidP="00DD6623">
            <w:pPr>
              <w:rPr>
                <w:rFonts w:ascii="Calibri" w:eastAsia="Calibri" w:hAnsi="Calibri" w:cs="Times New Roman"/>
                <w:sz w:val="24"/>
                <w:szCs w:val="24"/>
              </w:rPr>
            </w:pPr>
            <w:r>
              <w:rPr>
                <w:rFonts w:ascii="Calibri" w:eastAsia="Calibri" w:hAnsi="Calibri" w:cs="Times New Roman"/>
                <w:sz w:val="24"/>
                <w:szCs w:val="24"/>
              </w:rPr>
              <w:t xml:space="preserve">The table-top exercise </w:t>
            </w:r>
            <w:r w:rsidR="00A16D28">
              <w:rPr>
                <w:rFonts w:ascii="Calibri" w:eastAsia="Calibri" w:hAnsi="Calibri" w:cs="Times New Roman"/>
                <w:sz w:val="24"/>
                <w:szCs w:val="24"/>
              </w:rPr>
              <w:t xml:space="preserve">PATRICIA </w:t>
            </w:r>
            <w:r>
              <w:rPr>
                <w:rFonts w:ascii="Calibri" w:eastAsia="Calibri" w:hAnsi="Calibri" w:cs="Times New Roman"/>
                <w:sz w:val="24"/>
                <w:szCs w:val="24"/>
              </w:rPr>
              <w:t xml:space="preserve">was repeated by EDPS upon the success of the first Edition held in May 2024 and </w:t>
            </w:r>
            <w:r w:rsidR="00BE33C6">
              <w:rPr>
                <w:rFonts w:ascii="Calibri" w:eastAsia="Calibri" w:hAnsi="Calibri" w:cs="Times New Roman"/>
                <w:sz w:val="24"/>
                <w:szCs w:val="24"/>
              </w:rPr>
              <w:t>requested</w:t>
            </w:r>
            <w:r>
              <w:rPr>
                <w:rFonts w:ascii="Calibri" w:eastAsia="Calibri" w:hAnsi="Calibri" w:cs="Times New Roman"/>
                <w:sz w:val="24"/>
                <w:szCs w:val="24"/>
              </w:rPr>
              <w:t xml:space="preserve"> by the EUIs community.</w:t>
            </w:r>
          </w:p>
          <w:p w14:paraId="0E32CA5A" w14:textId="5D133C17" w:rsidR="00911630" w:rsidRPr="00DD6623" w:rsidRDefault="00B62861" w:rsidP="00DD6623">
            <w:pPr>
              <w:rPr>
                <w:rFonts w:ascii="Calibri" w:eastAsia="Calibri" w:hAnsi="Calibri" w:cs="Times New Roman"/>
                <w:sz w:val="24"/>
                <w:szCs w:val="24"/>
              </w:rPr>
            </w:pPr>
            <w:hyperlink r:id="rId23" w:history="1">
              <w:r w:rsidR="00A16D28" w:rsidRPr="004E47DE">
                <w:rPr>
                  <w:rStyle w:val="Hyperlink"/>
                  <w:rFonts w:ascii="Calibri" w:eastAsia="Calibri" w:hAnsi="Calibri" w:cs="Times New Roman"/>
                  <w:sz w:val="24"/>
                  <w:szCs w:val="24"/>
                </w:rPr>
                <w:t>https://x.com/EU_EDPS/status/1930531129771049348</w:t>
              </w:r>
            </w:hyperlink>
            <w:r w:rsidR="00A16D28">
              <w:rPr>
                <w:rFonts w:ascii="Calibri" w:eastAsia="Calibri" w:hAnsi="Calibri" w:cs="Times New Roman"/>
                <w:sz w:val="24"/>
                <w:szCs w:val="24"/>
              </w:rPr>
              <w:t xml:space="preserve"> </w:t>
            </w: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bookmarkStart w:id="0" w:name="_GoBack"/>
      <w:bookmarkEnd w:id="0"/>
    </w:p>
    <w:sectPr w:rsidR="001B3FE8" w:rsidRPr="006756E8" w:rsidSect="00CB241A">
      <w:headerReference w:type="default" r:id="rId24"/>
      <w:footerReference w:type="default" r:id="rId25"/>
      <w:headerReference w:type="first" r:id="rId26"/>
      <w:footerReference w:type="first" r:id="rId2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E0BFC" w14:textId="77777777" w:rsidR="00B62861" w:rsidRDefault="00B62861" w:rsidP="00F41B32">
      <w:pPr>
        <w:spacing w:after="0" w:line="240" w:lineRule="auto"/>
      </w:pPr>
      <w:r>
        <w:separator/>
      </w:r>
    </w:p>
  </w:endnote>
  <w:endnote w:type="continuationSeparator" w:id="0">
    <w:p w14:paraId="53807D14" w14:textId="77777777" w:rsidR="00B62861" w:rsidRDefault="00B62861" w:rsidP="00F41B32">
      <w:pPr>
        <w:spacing w:after="0" w:line="240" w:lineRule="auto"/>
      </w:pPr>
      <w:r>
        <w:continuationSeparator/>
      </w:r>
    </w:p>
  </w:endnote>
  <w:endnote w:type="continuationNotice" w:id="1">
    <w:p w14:paraId="7839C2BB" w14:textId="77777777" w:rsidR="00B62861" w:rsidRDefault="00B628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37552"/>
      <w:docPartObj>
        <w:docPartGallery w:val="Page Numbers (Bottom of Page)"/>
        <w:docPartUnique/>
      </w:docPartObj>
    </w:sdtPr>
    <w:sdtEndPr>
      <w:rPr>
        <w:noProof/>
      </w:rPr>
    </w:sdtEndPr>
    <w:sdtContent>
      <w:p w14:paraId="464DD53D" w14:textId="4F147F22" w:rsidR="00DE7A0D" w:rsidRDefault="00DE7A0D">
        <w:pPr>
          <w:pStyle w:val="Footer"/>
          <w:jc w:val="right"/>
        </w:pPr>
        <w:r>
          <w:fldChar w:fldCharType="begin"/>
        </w:r>
        <w:r>
          <w:instrText xml:space="preserve"> PAGE   \* MERGEFORMAT </w:instrText>
        </w:r>
        <w:r>
          <w:fldChar w:fldCharType="separate"/>
        </w:r>
        <w:r w:rsidR="00BF5356">
          <w:rPr>
            <w:noProof/>
          </w:rPr>
          <w:t>4</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067744"/>
      <w:docPartObj>
        <w:docPartGallery w:val="Page Numbers (Bottom of Page)"/>
        <w:docPartUnique/>
      </w:docPartObj>
    </w:sdtPr>
    <w:sdtEndPr>
      <w:rPr>
        <w:noProof/>
      </w:rPr>
    </w:sdtEndPr>
    <w:sdtContent>
      <w:p w14:paraId="37498756" w14:textId="65F78F24" w:rsidR="0082165F" w:rsidRDefault="0082165F">
        <w:pPr>
          <w:pStyle w:val="Footer"/>
          <w:jc w:val="right"/>
        </w:pPr>
        <w:r>
          <w:fldChar w:fldCharType="begin"/>
        </w:r>
        <w:r>
          <w:instrText xml:space="preserve"> PAGE   \* MERGEFORMAT </w:instrText>
        </w:r>
        <w:r>
          <w:fldChar w:fldCharType="separate"/>
        </w:r>
        <w:r w:rsidR="00BF5356">
          <w:rPr>
            <w:noProof/>
          </w:rPr>
          <w:t>1</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F3BB8" w14:textId="77777777" w:rsidR="00B62861" w:rsidRDefault="00B62861" w:rsidP="00F41B32">
      <w:pPr>
        <w:spacing w:after="0" w:line="240" w:lineRule="auto"/>
      </w:pPr>
      <w:r>
        <w:separator/>
      </w:r>
    </w:p>
  </w:footnote>
  <w:footnote w:type="continuationSeparator" w:id="0">
    <w:p w14:paraId="4A08CBF7" w14:textId="77777777" w:rsidR="00B62861" w:rsidRDefault="00B62861" w:rsidP="00F41B32">
      <w:pPr>
        <w:spacing w:after="0" w:line="240" w:lineRule="auto"/>
      </w:pPr>
      <w:r>
        <w:continuationSeparator/>
      </w:r>
    </w:p>
  </w:footnote>
  <w:footnote w:type="continuationNotice" w:id="1">
    <w:p w14:paraId="7522523C" w14:textId="77777777" w:rsidR="00B62861" w:rsidRDefault="00B62861">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680E" w14:textId="5B04ECB8" w:rsidR="00FE1CBF" w:rsidRDefault="0CF9034D" w:rsidP="00FE1CBF">
    <w:pPr>
      <w:pStyle w:val="Header"/>
      <w:jc w:val="center"/>
    </w:pPr>
    <w:r>
      <w:rPr>
        <w:noProof/>
        <w:lang w:val="en-GB" w:eastAsia="en-GB"/>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0614F7E"/>
    <w:multiLevelType w:val="hybridMultilevel"/>
    <w:tmpl w:val="C192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32"/>
    <w:rsid w:val="0002354C"/>
    <w:rsid w:val="0003251D"/>
    <w:rsid w:val="00054214"/>
    <w:rsid w:val="00054D8F"/>
    <w:rsid w:val="00066C38"/>
    <w:rsid w:val="00074986"/>
    <w:rsid w:val="000A767B"/>
    <w:rsid w:val="001268C5"/>
    <w:rsid w:val="00130D95"/>
    <w:rsid w:val="00150BA3"/>
    <w:rsid w:val="00171841"/>
    <w:rsid w:val="00177F95"/>
    <w:rsid w:val="00193EBC"/>
    <w:rsid w:val="001B1447"/>
    <w:rsid w:val="001B3FE8"/>
    <w:rsid w:val="001D4FC2"/>
    <w:rsid w:val="00216430"/>
    <w:rsid w:val="00235848"/>
    <w:rsid w:val="002604F5"/>
    <w:rsid w:val="00281428"/>
    <w:rsid w:val="002D106F"/>
    <w:rsid w:val="002D51C5"/>
    <w:rsid w:val="002D7546"/>
    <w:rsid w:val="002F7D3D"/>
    <w:rsid w:val="00301994"/>
    <w:rsid w:val="00303BDC"/>
    <w:rsid w:val="00316AE1"/>
    <w:rsid w:val="003260E8"/>
    <w:rsid w:val="00360672"/>
    <w:rsid w:val="003648CD"/>
    <w:rsid w:val="003800F5"/>
    <w:rsid w:val="00397998"/>
    <w:rsid w:val="003A0EC7"/>
    <w:rsid w:val="003A37D3"/>
    <w:rsid w:val="003A5400"/>
    <w:rsid w:val="003B7DAA"/>
    <w:rsid w:val="003D58FC"/>
    <w:rsid w:val="003E5F09"/>
    <w:rsid w:val="0043397E"/>
    <w:rsid w:val="004467A0"/>
    <w:rsid w:val="00471E98"/>
    <w:rsid w:val="00480B2C"/>
    <w:rsid w:val="0049273F"/>
    <w:rsid w:val="004B7109"/>
    <w:rsid w:val="004C41B3"/>
    <w:rsid w:val="004D1E2E"/>
    <w:rsid w:val="004E5F37"/>
    <w:rsid w:val="00500A57"/>
    <w:rsid w:val="00502848"/>
    <w:rsid w:val="00502B23"/>
    <w:rsid w:val="00514A4F"/>
    <w:rsid w:val="00563C16"/>
    <w:rsid w:val="00565B65"/>
    <w:rsid w:val="0057237B"/>
    <w:rsid w:val="005A7F40"/>
    <w:rsid w:val="005C0354"/>
    <w:rsid w:val="005D28D6"/>
    <w:rsid w:val="005E12FC"/>
    <w:rsid w:val="005E4FDC"/>
    <w:rsid w:val="00600353"/>
    <w:rsid w:val="00602CFF"/>
    <w:rsid w:val="00631BEF"/>
    <w:rsid w:val="00633D54"/>
    <w:rsid w:val="006427D4"/>
    <w:rsid w:val="006756E8"/>
    <w:rsid w:val="00675E3B"/>
    <w:rsid w:val="0068231A"/>
    <w:rsid w:val="006832D5"/>
    <w:rsid w:val="00695D88"/>
    <w:rsid w:val="00697F72"/>
    <w:rsid w:val="006A3D3A"/>
    <w:rsid w:val="006A4EE8"/>
    <w:rsid w:val="006E1894"/>
    <w:rsid w:val="0070032E"/>
    <w:rsid w:val="0071587F"/>
    <w:rsid w:val="0072573D"/>
    <w:rsid w:val="00745D66"/>
    <w:rsid w:val="00747895"/>
    <w:rsid w:val="007700D3"/>
    <w:rsid w:val="00774740"/>
    <w:rsid w:val="00792750"/>
    <w:rsid w:val="007A3298"/>
    <w:rsid w:val="007B2B44"/>
    <w:rsid w:val="007B6E8E"/>
    <w:rsid w:val="007D00E1"/>
    <w:rsid w:val="00805A48"/>
    <w:rsid w:val="00806684"/>
    <w:rsid w:val="00816ED0"/>
    <w:rsid w:val="0082165F"/>
    <w:rsid w:val="0082183A"/>
    <w:rsid w:val="00830CDA"/>
    <w:rsid w:val="00833EE9"/>
    <w:rsid w:val="00845540"/>
    <w:rsid w:val="00863C68"/>
    <w:rsid w:val="008D3516"/>
    <w:rsid w:val="00903E7C"/>
    <w:rsid w:val="00911630"/>
    <w:rsid w:val="00941D2E"/>
    <w:rsid w:val="00946621"/>
    <w:rsid w:val="009756EB"/>
    <w:rsid w:val="009B3AEE"/>
    <w:rsid w:val="009C53DC"/>
    <w:rsid w:val="009E5A5D"/>
    <w:rsid w:val="00A04F81"/>
    <w:rsid w:val="00A16D28"/>
    <w:rsid w:val="00A3098B"/>
    <w:rsid w:val="00A30B63"/>
    <w:rsid w:val="00A42A5D"/>
    <w:rsid w:val="00A45AD6"/>
    <w:rsid w:val="00A56192"/>
    <w:rsid w:val="00A947E7"/>
    <w:rsid w:val="00AB3EF2"/>
    <w:rsid w:val="00AB7785"/>
    <w:rsid w:val="00AC02D8"/>
    <w:rsid w:val="00AF2415"/>
    <w:rsid w:val="00B00176"/>
    <w:rsid w:val="00B117E4"/>
    <w:rsid w:val="00B15539"/>
    <w:rsid w:val="00B17318"/>
    <w:rsid w:val="00B541DD"/>
    <w:rsid w:val="00B62861"/>
    <w:rsid w:val="00B62F7A"/>
    <w:rsid w:val="00B70758"/>
    <w:rsid w:val="00B75191"/>
    <w:rsid w:val="00B831EB"/>
    <w:rsid w:val="00BB6A10"/>
    <w:rsid w:val="00BD2F98"/>
    <w:rsid w:val="00BE33C6"/>
    <w:rsid w:val="00BF49F3"/>
    <w:rsid w:val="00BF5356"/>
    <w:rsid w:val="00C27874"/>
    <w:rsid w:val="00C574B1"/>
    <w:rsid w:val="00C67697"/>
    <w:rsid w:val="00C75406"/>
    <w:rsid w:val="00C91AFF"/>
    <w:rsid w:val="00C96C3C"/>
    <w:rsid w:val="00C97DE0"/>
    <w:rsid w:val="00CA1992"/>
    <w:rsid w:val="00CB0A28"/>
    <w:rsid w:val="00CB241A"/>
    <w:rsid w:val="00CD0F0D"/>
    <w:rsid w:val="00CE741E"/>
    <w:rsid w:val="00CE7AC1"/>
    <w:rsid w:val="00D102DB"/>
    <w:rsid w:val="00D15EEF"/>
    <w:rsid w:val="00D2147F"/>
    <w:rsid w:val="00D21BBD"/>
    <w:rsid w:val="00D42B5B"/>
    <w:rsid w:val="00D456F2"/>
    <w:rsid w:val="00D56D31"/>
    <w:rsid w:val="00D60184"/>
    <w:rsid w:val="00D67BB7"/>
    <w:rsid w:val="00D81921"/>
    <w:rsid w:val="00D81A85"/>
    <w:rsid w:val="00D927B9"/>
    <w:rsid w:val="00D97CA0"/>
    <w:rsid w:val="00DC58A3"/>
    <w:rsid w:val="00DC6E06"/>
    <w:rsid w:val="00DD44DA"/>
    <w:rsid w:val="00DD6623"/>
    <w:rsid w:val="00DE2947"/>
    <w:rsid w:val="00DE7A0D"/>
    <w:rsid w:val="00DF40FC"/>
    <w:rsid w:val="00E02E87"/>
    <w:rsid w:val="00E43076"/>
    <w:rsid w:val="00E552B3"/>
    <w:rsid w:val="00E57180"/>
    <w:rsid w:val="00E66F75"/>
    <w:rsid w:val="00E90C6C"/>
    <w:rsid w:val="00E933E6"/>
    <w:rsid w:val="00EE7D51"/>
    <w:rsid w:val="00F00A94"/>
    <w:rsid w:val="00F41B32"/>
    <w:rsid w:val="00F71E97"/>
    <w:rsid w:val="00F83EFA"/>
    <w:rsid w:val="00F9371B"/>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customStyle="1"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 w:type="character" w:styleId="FollowedHyperlink">
    <w:name w:val="FollowedHyperlink"/>
    <w:basedOn w:val="DefaultParagraphFont"/>
    <w:uiPriority w:val="99"/>
    <w:semiHidden/>
    <w:unhideWhenUsed/>
    <w:rsid w:val="009116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103889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edps.europa.eu/data-protection/our-work/publications/reports/2024-12-11-edps-campaign-raising-awareness-personal-data-breaches_en" TargetMode="External"/><Relationship Id="rId7" Type="http://schemas.openxmlformats.org/officeDocument/2006/relationships/settings" Target="settings.xml"/><Relationship Id="rId12" Type="http://schemas.openxmlformats.org/officeDocument/2006/relationships/hyperlink" Target="mailto:Dina.kampouraki@edps.europa.eu"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dps.europa.eu/data-protection/our-work/publications/reports/2024-12-12-patricia-exercise-2024-personal-data-breach-awareness-cybersecurity-incident-handling_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x.com/EU_EDPS/status/1930531129771049348"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20years.edps.europa.eu/en/initiatives/raising-awareness-personal-data-breaches.html"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3.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422A49-D6D1-4B87-9B7B-7AFD45B4F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1158</Words>
  <Characters>6601</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Dina Kampouraki</cp:lastModifiedBy>
  <cp:revision>4</cp:revision>
  <dcterms:created xsi:type="dcterms:W3CDTF">2025-06-24T10:57:00Z</dcterms:created>
  <dcterms:modified xsi:type="dcterms:W3CDTF">2025-06-24T11:20:00Z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