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3C44B8">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vAlign w:val="center"/>
          </w:tcPr>
          <w:p w14:paraId="1F289219" w14:textId="09E165CA" w:rsidR="00DD6623" w:rsidRPr="00DD6623" w:rsidRDefault="00645EEC" w:rsidP="003C44B8">
            <w:pPr>
              <w:rPr>
                <w:rFonts w:ascii="Calibri" w:eastAsia="Calibri" w:hAnsi="Calibri" w:cs="Times New Roman"/>
                <w:sz w:val="24"/>
                <w:szCs w:val="24"/>
              </w:rPr>
            </w:pPr>
            <w:r>
              <w:rPr>
                <w:rFonts w:ascii="Calibri" w:eastAsia="Calibri" w:hAnsi="Calibri" w:cs="Times New Roman"/>
                <w:sz w:val="24"/>
                <w:szCs w:val="24"/>
              </w:rPr>
              <w:t>National Privacy Commission</w:t>
            </w:r>
          </w:p>
        </w:tc>
      </w:tr>
      <w:tr w:rsidR="00DD6623" w:rsidRPr="00DD6623" w14:paraId="07BC78E5" w14:textId="77777777" w:rsidTr="003C44B8">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vAlign w:val="center"/>
          </w:tcPr>
          <w:p w14:paraId="4145162E" w14:textId="17398407" w:rsidR="00DD6623" w:rsidRPr="00DD6623" w:rsidRDefault="00645EEC" w:rsidP="003C44B8">
            <w:pPr>
              <w:rPr>
                <w:rFonts w:ascii="Calibri" w:eastAsia="Calibri" w:hAnsi="Calibri" w:cs="Times New Roman"/>
                <w:sz w:val="24"/>
                <w:szCs w:val="24"/>
              </w:rPr>
            </w:pPr>
            <w:r>
              <w:rPr>
                <w:rFonts w:ascii="Calibri" w:eastAsia="Calibri" w:hAnsi="Calibri" w:cs="Times New Roman"/>
                <w:sz w:val="24"/>
                <w:szCs w:val="24"/>
              </w:rPr>
              <w:t>Ivy Grace</w:t>
            </w:r>
          </w:p>
        </w:tc>
        <w:tc>
          <w:tcPr>
            <w:tcW w:w="3006" w:type="dxa"/>
            <w:tcBorders>
              <w:left w:val="nil"/>
              <w:bottom w:val="single" w:sz="4" w:space="0" w:color="auto"/>
              <w:right w:val="nil"/>
            </w:tcBorders>
            <w:vAlign w:val="center"/>
          </w:tcPr>
          <w:p w14:paraId="1270AD7E" w14:textId="5611D3A4" w:rsidR="00DD6623" w:rsidRPr="00DD6623" w:rsidRDefault="00645EEC" w:rsidP="003C44B8">
            <w:pPr>
              <w:rPr>
                <w:rFonts w:ascii="Calibri" w:eastAsia="Calibri" w:hAnsi="Calibri" w:cs="Times New Roman"/>
                <w:sz w:val="24"/>
                <w:szCs w:val="24"/>
              </w:rPr>
            </w:pPr>
            <w:r>
              <w:rPr>
                <w:rFonts w:ascii="Calibri" w:eastAsia="Calibri" w:hAnsi="Calibri" w:cs="Times New Roman"/>
                <w:sz w:val="24"/>
                <w:szCs w:val="24"/>
              </w:rPr>
              <w:t>Villasoto</w:t>
            </w: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003C44B8">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vAlign w:val="center"/>
          </w:tcPr>
          <w:p w14:paraId="3465E3FD" w14:textId="08EC16E0" w:rsidR="0082183A" w:rsidRPr="00DD6623" w:rsidRDefault="00645EEC" w:rsidP="003C44B8">
            <w:pPr>
              <w:rPr>
                <w:rFonts w:ascii="Calibri" w:eastAsia="Calibri" w:hAnsi="Calibri" w:cs="Times New Roman"/>
                <w:sz w:val="24"/>
                <w:szCs w:val="24"/>
              </w:rPr>
            </w:pPr>
            <w:r>
              <w:rPr>
                <w:rFonts w:ascii="Calibri" w:eastAsia="Calibri" w:hAnsi="Calibri" w:cs="Times New Roman"/>
                <w:sz w:val="24"/>
                <w:szCs w:val="24"/>
              </w:rPr>
              <w:t>Chief, Policy Development Division</w:t>
            </w:r>
          </w:p>
        </w:tc>
      </w:tr>
      <w:tr w:rsidR="00DD6623" w:rsidRPr="00DD6623" w14:paraId="251CE3BD" w14:textId="77777777" w:rsidTr="003C44B8">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vAlign w:val="center"/>
          </w:tcPr>
          <w:p w14:paraId="1390626E" w14:textId="6B58D173" w:rsidR="00DD6623" w:rsidRPr="00DD6623" w:rsidRDefault="00645EEC" w:rsidP="003C44B8">
            <w:pPr>
              <w:rPr>
                <w:rFonts w:ascii="Calibri" w:eastAsia="Calibri" w:hAnsi="Calibri" w:cs="Times New Roman"/>
                <w:sz w:val="24"/>
                <w:szCs w:val="24"/>
              </w:rPr>
            </w:pPr>
            <w:r>
              <w:rPr>
                <w:rFonts w:ascii="Calibri" w:eastAsia="Calibri" w:hAnsi="Calibri" w:cs="Times New Roman"/>
                <w:sz w:val="24"/>
                <w:szCs w:val="24"/>
              </w:rPr>
              <w:t>grace.villasoto@privacy.gov.ph</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384D0125" w:rsidR="00DD6623" w:rsidRPr="00DD6623" w:rsidRDefault="00645EEC"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79A0AE32" w:rsidR="00DD6623" w:rsidRPr="00DD6623" w:rsidRDefault="00645EEC"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6BDFA2EA" w:rsidR="00DD6623" w:rsidRPr="00DD6623" w:rsidRDefault="00645EEC"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3C020621"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0EA7DA18" w14:textId="135ABBBC" w:rsidR="00DD6623" w:rsidRPr="00DD6623" w:rsidRDefault="00876F86"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145A10C2" w14:textId="77777777" w:rsidR="00B53D6B" w:rsidRDefault="00B53D6B" w:rsidP="002A14DF">
            <w:pPr>
              <w:jc w:val="both"/>
              <w:rPr>
                <w:rFonts w:ascii="Calibri" w:eastAsia="Calibri" w:hAnsi="Calibri" w:cs="Times New Roman"/>
                <w:sz w:val="24"/>
                <w:szCs w:val="24"/>
              </w:rPr>
            </w:pPr>
          </w:p>
          <w:p w14:paraId="3D32729D" w14:textId="1365F2BA" w:rsidR="00E12D72" w:rsidRDefault="00DC1A77" w:rsidP="002A14DF">
            <w:pPr>
              <w:jc w:val="both"/>
              <w:rPr>
                <w:rFonts w:ascii="Calibri" w:eastAsia="Calibri" w:hAnsi="Calibri" w:cs="Times New Roman"/>
                <w:sz w:val="24"/>
                <w:szCs w:val="24"/>
              </w:rPr>
            </w:pPr>
            <w:r>
              <w:rPr>
                <w:rFonts w:ascii="Calibri" w:eastAsia="Calibri" w:hAnsi="Calibri" w:cs="Times New Roman"/>
                <w:sz w:val="24"/>
                <w:szCs w:val="24"/>
              </w:rPr>
              <w:t xml:space="preserve">The National Privacy Commission establishes standards and policies to ensure </w:t>
            </w:r>
            <w:r w:rsidR="003C44B8">
              <w:rPr>
                <w:rFonts w:ascii="Calibri" w:eastAsia="Calibri" w:hAnsi="Calibri" w:cs="Times New Roman"/>
                <w:sz w:val="24"/>
                <w:szCs w:val="24"/>
              </w:rPr>
              <w:t>that personal information controllers and processors</w:t>
            </w:r>
            <w:r>
              <w:rPr>
                <w:rFonts w:ascii="Calibri" w:eastAsia="Calibri" w:hAnsi="Calibri" w:cs="Times New Roman"/>
                <w:sz w:val="24"/>
                <w:szCs w:val="24"/>
              </w:rPr>
              <w:t xml:space="preserve"> are accountable for protecting personal data, especially sensitive</w:t>
            </w:r>
            <w:r w:rsidR="003C44B8">
              <w:rPr>
                <w:rFonts w:ascii="Calibri" w:eastAsia="Calibri" w:hAnsi="Calibri" w:cs="Times New Roman"/>
                <w:sz w:val="24"/>
                <w:szCs w:val="24"/>
              </w:rPr>
              <w:t xml:space="preserve"> personal</w:t>
            </w:r>
            <w:r>
              <w:rPr>
                <w:rFonts w:ascii="Calibri" w:eastAsia="Calibri" w:hAnsi="Calibri" w:cs="Times New Roman"/>
                <w:sz w:val="24"/>
                <w:szCs w:val="24"/>
              </w:rPr>
              <w:t xml:space="preserve"> information</w:t>
            </w:r>
            <w:r w:rsidR="00157CF5" w:rsidRPr="00157CF5">
              <w:rPr>
                <w:rFonts w:ascii="Calibri" w:eastAsia="Calibri" w:hAnsi="Calibri" w:cs="Times New Roman"/>
                <w:sz w:val="24"/>
                <w:szCs w:val="24"/>
              </w:rPr>
              <w:t xml:space="preserve">. These issuances compel both government and private sector organizations to implement robust privacy policies and practices, ensuring they actively safeguard personal data. </w:t>
            </w:r>
          </w:p>
          <w:p w14:paraId="342BDEEA" w14:textId="77777777" w:rsidR="00E12D72" w:rsidRDefault="00E12D72" w:rsidP="002A14DF">
            <w:pPr>
              <w:jc w:val="both"/>
              <w:rPr>
                <w:rFonts w:ascii="Calibri" w:eastAsia="Calibri" w:hAnsi="Calibri" w:cs="Times New Roman"/>
                <w:sz w:val="24"/>
                <w:szCs w:val="24"/>
              </w:rPr>
            </w:pPr>
          </w:p>
          <w:p w14:paraId="24A42C06" w14:textId="18E975B0" w:rsidR="00DD6623" w:rsidRPr="00DD6623" w:rsidRDefault="00157CF5" w:rsidP="002A14DF">
            <w:pPr>
              <w:jc w:val="both"/>
              <w:rPr>
                <w:rFonts w:ascii="Calibri" w:eastAsia="Calibri" w:hAnsi="Calibri" w:cs="Times New Roman"/>
                <w:sz w:val="24"/>
                <w:szCs w:val="24"/>
              </w:rPr>
            </w:pPr>
            <w:r w:rsidRPr="00157CF5">
              <w:rPr>
                <w:rFonts w:ascii="Calibri" w:eastAsia="Calibri" w:hAnsi="Calibri" w:cs="Times New Roman"/>
                <w:sz w:val="24"/>
                <w:szCs w:val="24"/>
              </w:rPr>
              <w:t xml:space="preserve">By </w:t>
            </w:r>
            <w:r w:rsidR="00E12D72">
              <w:rPr>
                <w:rFonts w:ascii="Calibri" w:eastAsia="Calibri" w:hAnsi="Calibri" w:cs="Times New Roman"/>
                <w:sz w:val="24"/>
                <w:szCs w:val="24"/>
              </w:rPr>
              <w:t>implementing</w:t>
            </w:r>
            <w:r w:rsidRPr="00157CF5">
              <w:rPr>
                <w:rFonts w:ascii="Calibri" w:eastAsia="Calibri" w:hAnsi="Calibri" w:cs="Times New Roman"/>
                <w:sz w:val="24"/>
                <w:szCs w:val="24"/>
              </w:rPr>
              <w:t xml:space="preserve"> these guidelines</w:t>
            </w:r>
            <w:r w:rsidR="00E12D72">
              <w:rPr>
                <w:rFonts w:ascii="Calibri" w:eastAsia="Calibri" w:hAnsi="Calibri" w:cs="Times New Roman"/>
                <w:sz w:val="24"/>
                <w:szCs w:val="24"/>
              </w:rPr>
              <w:t xml:space="preserve"> and policies</w:t>
            </w:r>
            <w:r w:rsidRPr="00157CF5">
              <w:rPr>
                <w:rFonts w:ascii="Calibri" w:eastAsia="Calibri" w:hAnsi="Calibri" w:cs="Times New Roman"/>
                <w:sz w:val="24"/>
                <w:szCs w:val="24"/>
              </w:rPr>
              <w:t xml:space="preserve">, </w:t>
            </w:r>
            <w:r w:rsidR="00E12D72">
              <w:rPr>
                <w:rFonts w:ascii="Calibri" w:eastAsia="Calibri" w:hAnsi="Calibri" w:cs="Times New Roman"/>
                <w:sz w:val="24"/>
                <w:szCs w:val="24"/>
              </w:rPr>
              <w:t>organizations</w:t>
            </w:r>
            <w:r w:rsidRPr="00157CF5">
              <w:rPr>
                <w:rFonts w:ascii="Calibri" w:eastAsia="Calibri" w:hAnsi="Calibri" w:cs="Times New Roman"/>
                <w:sz w:val="24"/>
                <w:szCs w:val="24"/>
              </w:rPr>
              <w:t xml:space="preserve"> demonstrate transparency and responsibility in </w:t>
            </w:r>
            <w:r w:rsidR="00E12D72">
              <w:rPr>
                <w:rFonts w:ascii="Calibri" w:eastAsia="Calibri" w:hAnsi="Calibri" w:cs="Times New Roman"/>
                <w:sz w:val="24"/>
                <w:szCs w:val="24"/>
              </w:rPr>
              <w:t xml:space="preserve">privacy and </w:t>
            </w:r>
            <w:r w:rsidRPr="00157CF5">
              <w:rPr>
                <w:rFonts w:ascii="Calibri" w:eastAsia="Calibri" w:hAnsi="Calibri" w:cs="Times New Roman"/>
                <w:sz w:val="24"/>
                <w:szCs w:val="24"/>
              </w:rPr>
              <w:t xml:space="preserve">data protection, reinforcing their commitment to accountability and building trust with </w:t>
            </w:r>
            <w:r w:rsidR="00E12D72">
              <w:rPr>
                <w:rFonts w:ascii="Calibri" w:eastAsia="Calibri" w:hAnsi="Calibri" w:cs="Times New Roman"/>
                <w:sz w:val="24"/>
                <w:szCs w:val="24"/>
              </w:rPr>
              <w:t>data subjects a</w:t>
            </w:r>
            <w:r w:rsidRPr="00157CF5">
              <w:rPr>
                <w:rFonts w:ascii="Calibri" w:eastAsia="Calibri" w:hAnsi="Calibri" w:cs="Times New Roman"/>
                <w:sz w:val="24"/>
                <w:szCs w:val="24"/>
              </w:rPr>
              <w:t>nd stakeholders.</w:t>
            </w:r>
          </w:p>
          <w:p w14:paraId="4217F53A" w14:textId="77777777" w:rsidR="00DD6623" w:rsidRPr="00DD6623" w:rsidRDefault="00DD6623" w:rsidP="00DD662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39D046AA" w14:textId="77777777" w:rsidR="00D479F1" w:rsidRDefault="00D479F1" w:rsidP="00EF34BE">
            <w:pPr>
              <w:jc w:val="both"/>
              <w:rPr>
                <w:rFonts w:ascii="Calibri" w:eastAsia="Calibri" w:hAnsi="Calibri" w:cs="Times New Roman"/>
                <w:sz w:val="24"/>
                <w:szCs w:val="24"/>
              </w:rPr>
            </w:pPr>
          </w:p>
          <w:p w14:paraId="0929CCAF" w14:textId="585D5DAB" w:rsidR="00D479F1" w:rsidRPr="00200CBF" w:rsidRDefault="004D492C" w:rsidP="00EF34BE">
            <w:pPr>
              <w:jc w:val="both"/>
              <w:rPr>
                <w:rFonts w:ascii="Calibri" w:eastAsia="Calibri" w:hAnsi="Calibri" w:cs="Times New Roman"/>
                <w:sz w:val="24"/>
                <w:szCs w:val="24"/>
              </w:rPr>
            </w:pPr>
            <w:r w:rsidRPr="00200CBF">
              <w:rPr>
                <w:rFonts w:ascii="Calibri" w:eastAsia="Calibri" w:hAnsi="Calibri" w:cs="Times New Roman"/>
                <w:sz w:val="24"/>
                <w:szCs w:val="24"/>
              </w:rPr>
              <w:t xml:space="preserve">To support </w:t>
            </w:r>
            <w:r w:rsidR="00E12D72">
              <w:rPr>
                <w:rFonts w:ascii="Calibri" w:eastAsia="Calibri" w:hAnsi="Calibri" w:cs="Times New Roman"/>
                <w:sz w:val="24"/>
                <w:szCs w:val="24"/>
              </w:rPr>
              <w:t xml:space="preserve">the </w:t>
            </w:r>
            <w:r w:rsidRPr="00200CBF">
              <w:rPr>
                <w:rFonts w:ascii="Calibri" w:eastAsia="Calibri" w:hAnsi="Calibri" w:cs="Times New Roman"/>
                <w:sz w:val="24"/>
                <w:szCs w:val="24"/>
              </w:rPr>
              <w:t>effective implementation of the Data Privacy Act of 2012</w:t>
            </w:r>
            <w:r w:rsidR="003C44B8">
              <w:rPr>
                <w:rFonts w:ascii="Calibri" w:eastAsia="Calibri" w:hAnsi="Calibri" w:cs="Times New Roman"/>
                <w:sz w:val="24"/>
                <w:szCs w:val="24"/>
              </w:rPr>
              <w:t xml:space="preserve"> (DPA)</w:t>
            </w:r>
            <w:r w:rsidRPr="00200CBF">
              <w:rPr>
                <w:rFonts w:ascii="Calibri" w:eastAsia="Calibri" w:hAnsi="Calibri" w:cs="Times New Roman"/>
                <w:sz w:val="24"/>
                <w:szCs w:val="24"/>
              </w:rPr>
              <w:t>, t</w:t>
            </w:r>
            <w:r w:rsidR="00D479F1" w:rsidRPr="00200CBF">
              <w:rPr>
                <w:rFonts w:ascii="Calibri" w:eastAsia="Calibri" w:hAnsi="Calibri" w:cs="Times New Roman"/>
                <w:sz w:val="24"/>
                <w:szCs w:val="24"/>
              </w:rPr>
              <w:t xml:space="preserve">he National Privacy Commission (NPC) issues Circulars that </w:t>
            </w:r>
            <w:r w:rsidR="00BA5275" w:rsidRPr="00200CBF">
              <w:rPr>
                <w:rFonts w:ascii="Calibri" w:eastAsia="Calibri" w:hAnsi="Calibri" w:cs="Times New Roman"/>
                <w:sz w:val="24"/>
                <w:szCs w:val="24"/>
              </w:rPr>
              <w:t xml:space="preserve">prescribe, specify, or define policies and procedures </w:t>
            </w:r>
            <w:r w:rsidR="00D479F1" w:rsidRPr="00200CBF">
              <w:rPr>
                <w:rFonts w:ascii="Calibri" w:eastAsia="Calibri" w:hAnsi="Calibri" w:cs="Times New Roman"/>
                <w:sz w:val="24"/>
                <w:szCs w:val="24"/>
              </w:rPr>
              <w:t xml:space="preserve">designed to </w:t>
            </w:r>
            <w:r w:rsidR="00EE20D0" w:rsidRPr="00200CBF">
              <w:rPr>
                <w:rFonts w:ascii="Calibri" w:eastAsia="Calibri" w:hAnsi="Calibri" w:cs="Times New Roman"/>
                <w:sz w:val="24"/>
                <w:szCs w:val="24"/>
              </w:rPr>
              <w:t>supplement</w:t>
            </w:r>
            <w:r w:rsidR="00D479F1" w:rsidRPr="00200CBF">
              <w:rPr>
                <w:rFonts w:ascii="Calibri" w:eastAsia="Calibri" w:hAnsi="Calibri" w:cs="Times New Roman"/>
                <w:sz w:val="24"/>
                <w:szCs w:val="24"/>
              </w:rPr>
              <w:t xml:space="preserve"> and clarify the provisions of the DPA and its Implementing Rules and Regulations (IRR). These Circulars are intended to ensure effective implementation and enforcement of the DPA and its IRR, applying to all covered individuals or organizations, or to specific sectors. </w:t>
            </w:r>
          </w:p>
          <w:p w14:paraId="444933DD" w14:textId="77777777" w:rsidR="00D479F1" w:rsidRPr="00200CBF" w:rsidRDefault="00D479F1" w:rsidP="00EF34BE">
            <w:pPr>
              <w:jc w:val="both"/>
              <w:rPr>
                <w:rFonts w:ascii="Calibri" w:eastAsia="Calibri" w:hAnsi="Calibri" w:cs="Times New Roman"/>
                <w:sz w:val="24"/>
                <w:szCs w:val="24"/>
              </w:rPr>
            </w:pPr>
          </w:p>
          <w:p w14:paraId="24E885E0" w14:textId="2D4AC663" w:rsidR="00AD7936" w:rsidRPr="00200CBF" w:rsidRDefault="006C7E85" w:rsidP="00EF34BE">
            <w:pPr>
              <w:jc w:val="both"/>
              <w:rPr>
                <w:rFonts w:ascii="Calibri" w:eastAsia="Calibri" w:hAnsi="Calibri" w:cs="Times New Roman"/>
                <w:sz w:val="24"/>
                <w:szCs w:val="24"/>
              </w:rPr>
            </w:pPr>
            <w:r w:rsidRPr="00200CBF">
              <w:rPr>
                <w:rFonts w:ascii="Calibri" w:eastAsia="Calibri" w:hAnsi="Calibri" w:cs="Times New Roman"/>
                <w:sz w:val="24"/>
                <w:szCs w:val="24"/>
              </w:rPr>
              <w:t xml:space="preserve">Additionally, </w:t>
            </w:r>
            <w:r w:rsidR="00B667CF" w:rsidRPr="00200CBF">
              <w:rPr>
                <w:rFonts w:ascii="Calibri" w:eastAsia="Calibri" w:hAnsi="Calibri" w:cs="Times New Roman"/>
                <w:sz w:val="24"/>
                <w:szCs w:val="24"/>
              </w:rPr>
              <w:t>the</w:t>
            </w:r>
            <w:r w:rsidR="00CA1BD3" w:rsidRPr="00200CBF">
              <w:rPr>
                <w:rFonts w:ascii="Calibri" w:eastAsia="Calibri" w:hAnsi="Calibri" w:cs="Times New Roman"/>
                <w:sz w:val="24"/>
                <w:szCs w:val="24"/>
              </w:rPr>
              <w:t xml:space="preserve"> NPC also issues Advisories that serve as a guide or recommendation on the interpretation of the provisions of the DPA and its IRR and best practices relating to the processing of personal data in compliance with the Act and its IRR applicable to all covered natural or judicial persons, or to a particular sector. </w:t>
            </w:r>
          </w:p>
          <w:p w14:paraId="0DE21B3A" w14:textId="77777777" w:rsidR="00313CFA" w:rsidRPr="00200CBF" w:rsidRDefault="00313CFA" w:rsidP="00EF34BE">
            <w:pPr>
              <w:jc w:val="both"/>
              <w:rPr>
                <w:rFonts w:ascii="Calibri" w:eastAsia="Calibri" w:hAnsi="Calibri" w:cs="Times New Roman"/>
                <w:sz w:val="24"/>
                <w:szCs w:val="24"/>
              </w:rPr>
            </w:pPr>
          </w:p>
          <w:p w14:paraId="4B17606C" w14:textId="53266879" w:rsidR="00206A70" w:rsidRPr="00200CBF" w:rsidRDefault="00206A70" w:rsidP="00EF34BE">
            <w:pPr>
              <w:jc w:val="both"/>
              <w:rPr>
                <w:rFonts w:ascii="Calibri" w:eastAsia="Calibri" w:hAnsi="Calibri" w:cs="Times New Roman"/>
                <w:sz w:val="24"/>
                <w:szCs w:val="24"/>
              </w:rPr>
            </w:pPr>
            <w:r w:rsidRPr="00200CBF">
              <w:rPr>
                <w:rFonts w:ascii="Calibri" w:eastAsia="Calibri" w:hAnsi="Calibri" w:cs="Times New Roman"/>
                <w:sz w:val="24"/>
                <w:szCs w:val="24"/>
              </w:rPr>
              <w:t xml:space="preserve">These circulars and advisories address emerging technologies, sector-specific practices, and fundamental principles of data privacy. </w:t>
            </w:r>
            <w:r w:rsidR="00BE700F" w:rsidRPr="00200CBF">
              <w:rPr>
                <w:rFonts w:ascii="Calibri" w:eastAsia="Calibri" w:hAnsi="Calibri" w:cs="Times New Roman"/>
                <w:sz w:val="24"/>
                <w:szCs w:val="24"/>
              </w:rPr>
              <w:t>They</w:t>
            </w:r>
            <w:r w:rsidRPr="00200CBF">
              <w:rPr>
                <w:rFonts w:ascii="Calibri" w:eastAsia="Calibri" w:hAnsi="Calibri" w:cs="Times New Roman"/>
                <w:sz w:val="24"/>
                <w:szCs w:val="24"/>
              </w:rPr>
              <w:t xml:space="preserve"> </w:t>
            </w:r>
            <w:r w:rsidR="00BE700F" w:rsidRPr="00200CBF">
              <w:rPr>
                <w:rFonts w:ascii="Calibri" w:eastAsia="Calibri" w:hAnsi="Calibri" w:cs="Times New Roman"/>
                <w:sz w:val="24"/>
                <w:szCs w:val="24"/>
              </w:rPr>
              <w:t>guide</w:t>
            </w:r>
            <w:r w:rsidRPr="00200CBF">
              <w:rPr>
                <w:rFonts w:ascii="Calibri" w:eastAsia="Calibri" w:hAnsi="Calibri" w:cs="Times New Roman"/>
                <w:sz w:val="24"/>
                <w:szCs w:val="24"/>
              </w:rPr>
              <w:t xml:space="preserve"> organizations in </w:t>
            </w:r>
            <w:r w:rsidR="00D557B8" w:rsidRPr="00200CBF">
              <w:rPr>
                <w:rFonts w:ascii="Calibri" w:eastAsia="Calibri" w:hAnsi="Calibri" w:cs="Times New Roman"/>
                <w:sz w:val="24"/>
                <w:szCs w:val="24"/>
              </w:rPr>
              <w:t>implement</w:t>
            </w:r>
            <w:r w:rsidRPr="00200CBF">
              <w:rPr>
                <w:rFonts w:ascii="Calibri" w:eastAsia="Calibri" w:hAnsi="Calibri" w:cs="Times New Roman"/>
                <w:sz w:val="24"/>
                <w:szCs w:val="24"/>
              </w:rPr>
              <w:t>ing accountability across all stages of personal data processing.</w:t>
            </w:r>
          </w:p>
          <w:p w14:paraId="5A685356" w14:textId="77777777" w:rsidR="009611C8" w:rsidRPr="00200CBF" w:rsidRDefault="009611C8" w:rsidP="00EF34BE">
            <w:pPr>
              <w:jc w:val="both"/>
              <w:rPr>
                <w:rFonts w:ascii="Calibri" w:eastAsia="Calibri" w:hAnsi="Calibri" w:cs="Times New Roman"/>
                <w:sz w:val="24"/>
                <w:szCs w:val="24"/>
              </w:rPr>
            </w:pPr>
          </w:p>
          <w:p w14:paraId="53D50650" w14:textId="62C3106C" w:rsidR="00C209C3" w:rsidRPr="00200CBF" w:rsidRDefault="00C209C3" w:rsidP="00EF34BE">
            <w:pPr>
              <w:jc w:val="both"/>
              <w:rPr>
                <w:rFonts w:ascii="Calibri" w:eastAsia="Calibri" w:hAnsi="Calibri" w:cs="Times New Roman"/>
                <w:sz w:val="24"/>
                <w:szCs w:val="24"/>
                <w:lang w:val="en-PH"/>
              </w:rPr>
            </w:pPr>
            <w:r w:rsidRPr="00200CBF">
              <w:rPr>
                <w:rFonts w:ascii="Calibri" w:eastAsia="Calibri" w:hAnsi="Calibri" w:cs="Times New Roman"/>
                <w:sz w:val="24"/>
                <w:szCs w:val="24"/>
              </w:rPr>
              <w:t xml:space="preserve">Foundational policies, such as those outlining the principles of consent, the concept of legitimate interest, </w:t>
            </w:r>
            <w:r w:rsidR="00E12D72">
              <w:rPr>
                <w:rFonts w:ascii="Calibri" w:eastAsia="Calibri" w:hAnsi="Calibri" w:cs="Times New Roman"/>
                <w:sz w:val="24"/>
                <w:szCs w:val="24"/>
              </w:rPr>
              <w:t xml:space="preserve">data sharing agreements, </w:t>
            </w:r>
            <w:r w:rsidRPr="00200CBF">
              <w:rPr>
                <w:rFonts w:ascii="Calibri" w:eastAsia="Calibri" w:hAnsi="Calibri" w:cs="Times New Roman"/>
                <w:sz w:val="24"/>
                <w:szCs w:val="24"/>
              </w:rPr>
              <w:t>and the implementation of security measures, serve as essential frameworks that offer comprehensive guidance for organizations. These policies help ensure compliance with legal and regulatory requirements</w:t>
            </w:r>
            <w:r w:rsidR="00E12D72">
              <w:rPr>
                <w:rFonts w:ascii="Calibri" w:eastAsia="Calibri" w:hAnsi="Calibri" w:cs="Times New Roman"/>
                <w:sz w:val="24"/>
                <w:szCs w:val="24"/>
              </w:rPr>
              <w:t xml:space="preserve"> and demonstrate accountability</w:t>
            </w:r>
            <w:r w:rsidR="006838B5" w:rsidRPr="00200CBF">
              <w:rPr>
                <w:rFonts w:ascii="Calibri" w:eastAsia="Calibri" w:hAnsi="Calibri" w:cs="Times New Roman"/>
                <w:sz w:val="24"/>
                <w:szCs w:val="24"/>
              </w:rPr>
              <w:t>.</w:t>
            </w:r>
          </w:p>
          <w:p w14:paraId="2260C3C1" w14:textId="3696D779" w:rsidR="004D168A" w:rsidRPr="00200CBF" w:rsidRDefault="007033DB" w:rsidP="00EF34BE">
            <w:pPr>
              <w:jc w:val="both"/>
              <w:rPr>
                <w:rFonts w:ascii="Calibri" w:eastAsia="Calibri" w:hAnsi="Calibri" w:cs="Times New Roman"/>
                <w:sz w:val="24"/>
                <w:szCs w:val="24"/>
              </w:rPr>
            </w:pPr>
            <w:r w:rsidRPr="0051266E">
              <w:rPr>
                <w:rFonts w:ascii="Calibri" w:eastAsia="Calibri" w:hAnsi="Calibri" w:cs="Times New Roman"/>
                <w:sz w:val="24"/>
                <w:szCs w:val="24"/>
                <w:lang w:val="en-PH"/>
              </w:rPr>
              <w:t xml:space="preserve"> </w:t>
            </w:r>
          </w:p>
          <w:p w14:paraId="58830343" w14:textId="77777777" w:rsidR="009611C8" w:rsidRPr="00200CBF" w:rsidRDefault="00637D56" w:rsidP="009611C8">
            <w:pPr>
              <w:jc w:val="both"/>
              <w:rPr>
                <w:rFonts w:ascii="Calibri" w:eastAsia="Calibri" w:hAnsi="Calibri" w:cs="Times New Roman"/>
                <w:sz w:val="24"/>
                <w:szCs w:val="24"/>
                <w:lang w:val="en-PH"/>
              </w:rPr>
            </w:pPr>
            <w:r w:rsidRPr="0051266E">
              <w:rPr>
                <w:rFonts w:ascii="Calibri" w:eastAsia="Calibri" w:hAnsi="Calibri" w:cs="Times New Roman"/>
                <w:sz w:val="24"/>
                <w:szCs w:val="24"/>
                <w:lang w:val="en-PH"/>
              </w:rPr>
              <w:t>Meanwhile, advisories such as those on AI systems, child-oriented transparency, and deceptive design patterns reflect the NPC’s stance on emerging privacy challenges. Model clauses for cross-border data transfers also help organizations maintain accountability beyond national borders.</w:t>
            </w:r>
            <w:r w:rsidR="009611C8" w:rsidRPr="00200CBF">
              <w:rPr>
                <w:rFonts w:ascii="Calibri" w:eastAsia="Calibri" w:hAnsi="Calibri" w:cs="Times New Roman"/>
                <w:sz w:val="24"/>
                <w:szCs w:val="24"/>
                <w:lang w:val="en-PH"/>
              </w:rPr>
              <w:t xml:space="preserve"> </w:t>
            </w:r>
            <w:r w:rsidR="009611C8" w:rsidRPr="0051266E">
              <w:rPr>
                <w:rFonts w:ascii="Calibri" w:eastAsia="Calibri" w:hAnsi="Calibri" w:cs="Times New Roman"/>
                <w:sz w:val="24"/>
                <w:szCs w:val="24"/>
                <w:lang w:val="en-PH"/>
              </w:rPr>
              <w:t xml:space="preserve">Recent circulars, such as those on body-worn cameras and CCTV systems, emphasize the need for proportionality, transparency, and security in surveillance-related data collection. </w:t>
            </w:r>
          </w:p>
          <w:p w14:paraId="325C4714" w14:textId="3521049F" w:rsidR="00637D56" w:rsidRPr="00200CBF" w:rsidRDefault="00637D56" w:rsidP="00EF34BE">
            <w:pPr>
              <w:jc w:val="both"/>
              <w:rPr>
                <w:rFonts w:ascii="Calibri" w:eastAsia="Calibri" w:hAnsi="Calibri" w:cs="Times New Roman"/>
                <w:sz w:val="24"/>
                <w:szCs w:val="24"/>
                <w:lang w:val="en-PH"/>
              </w:rPr>
            </w:pPr>
          </w:p>
          <w:p w14:paraId="191F94E6" w14:textId="370A494C" w:rsidR="00637D56" w:rsidRPr="0051266E" w:rsidRDefault="00EC33D2" w:rsidP="00EF34BE">
            <w:pPr>
              <w:jc w:val="both"/>
              <w:rPr>
                <w:rFonts w:ascii="Calibri" w:eastAsia="Calibri" w:hAnsi="Calibri" w:cs="Times New Roman"/>
                <w:sz w:val="24"/>
                <w:szCs w:val="24"/>
                <w:lang w:val="en-PH"/>
              </w:rPr>
            </w:pPr>
            <w:r w:rsidRPr="00200CBF">
              <w:rPr>
                <w:rFonts w:ascii="Calibri" w:eastAsia="Calibri" w:hAnsi="Calibri" w:cs="Times New Roman"/>
                <w:sz w:val="24"/>
                <w:szCs w:val="24"/>
                <w:lang w:val="en-PH"/>
              </w:rPr>
              <w:lastRenderedPageBreak/>
              <w:t>Collectively</w:t>
            </w:r>
            <w:r w:rsidR="00637D56" w:rsidRPr="0051266E">
              <w:rPr>
                <w:rFonts w:ascii="Calibri" w:eastAsia="Calibri" w:hAnsi="Calibri" w:cs="Times New Roman"/>
                <w:sz w:val="24"/>
                <w:szCs w:val="24"/>
                <w:lang w:val="en-PH"/>
              </w:rPr>
              <w:t xml:space="preserve">, these issuances form a comprehensive framework </w:t>
            </w:r>
            <w:r w:rsidR="00222395" w:rsidRPr="00200CBF">
              <w:rPr>
                <w:rFonts w:ascii="Calibri" w:eastAsia="Calibri" w:hAnsi="Calibri" w:cs="Times New Roman"/>
                <w:sz w:val="24"/>
                <w:szCs w:val="24"/>
                <w:lang w:val="en-PH"/>
              </w:rPr>
              <w:t>intended to enable</w:t>
            </w:r>
            <w:r w:rsidR="00637D56" w:rsidRPr="0051266E">
              <w:rPr>
                <w:rFonts w:ascii="Calibri" w:eastAsia="Calibri" w:hAnsi="Calibri" w:cs="Times New Roman"/>
                <w:sz w:val="24"/>
                <w:szCs w:val="24"/>
                <w:lang w:val="en-PH"/>
              </w:rPr>
              <w:t xml:space="preserve"> both public and private entities to establish robust </w:t>
            </w:r>
            <w:r w:rsidR="00F70D03" w:rsidRPr="00200CBF">
              <w:rPr>
                <w:rFonts w:ascii="Calibri" w:eastAsia="Calibri" w:hAnsi="Calibri" w:cs="Times New Roman"/>
                <w:sz w:val="24"/>
                <w:szCs w:val="24"/>
                <w:lang w:val="en-PH"/>
              </w:rPr>
              <w:t xml:space="preserve">and effective </w:t>
            </w:r>
            <w:r w:rsidR="00637D56" w:rsidRPr="0051266E">
              <w:rPr>
                <w:rFonts w:ascii="Calibri" w:eastAsia="Calibri" w:hAnsi="Calibri" w:cs="Times New Roman"/>
                <w:sz w:val="24"/>
                <w:szCs w:val="24"/>
                <w:lang w:val="en-PH"/>
              </w:rPr>
              <w:t>data governance structures</w:t>
            </w:r>
            <w:r w:rsidR="00285331" w:rsidRPr="00200CBF">
              <w:rPr>
                <w:rFonts w:ascii="Calibri" w:eastAsia="Calibri" w:hAnsi="Calibri" w:cs="Times New Roman"/>
                <w:sz w:val="24"/>
                <w:szCs w:val="24"/>
                <w:lang w:val="en-PH"/>
              </w:rPr>
              <w:t>. This</w:t>
            </w:r>
            <w:r w:rsidR="00637D56" w:rsidRPr="0051266E">
              <w:rPr>
                <w:rFonts w:ascii="Calibri" w:eastAsia="Calibri" w:hAnsi="Calibri" w:cs="Times New Roman"/>
                <w:sz w:val="24"/>
                <w:szCs w:val="24"/>
                <w:lang w:val="en-PH"/>
              </w:rPr>
              <w:t xml:space="preserve"> ensur</w:t>
            </w:r>
            <w:r w:rsidR="00285331" w:rsidRPr="00200CBF">
              <w:rPr>
                <w:rFonts w:ascii="Calibri" w:eastAsia="Calibri" w:hAnsi="Calibri" w:cs="Times New Roman"/>
                <w:sz w:val="24"/>
                <w:szCs w:val="24"/>
                <w:lang w:val="en-PH"/>
              </w:rPr>
              <w:t>es</w:t>
            </w:r>
            <w:r w:rsidR="00637D56" w:rsidRPr="0051266E">
              <w:rPr>
                <w:rFonts w:ascii="Calibri" w:eastAsia="Calibri" w:hAnsi="Calibri" w:cs="Times New Roman"/>
                <w:sz w:val="24"/>
                <w:szCs w:val="24"/>
                <w:lang w:val="en-PH"/>
              </w:rPr>
              <w:t xml:space="preserve"> that accountability </w:t>
            </w:r>
            <w:r w:rsidR="00285331" w:rsidRPr="00200CBF">
              <w:rPr>
                <w:rFonts w:ascii="Calibri" w:eastAsia="Calibri" w:hAnsi="Calibri" w:cs="Times New Roman"/>
                <w:sz w:val="24"/>
                <w:szCs w:val="24"/>
                <w:lang w:val="en-PH"/>
              </w:rPr>
              <w:t>becomes not merel</w:t>
            </w:r>
            <w:r w:rsidR="004917AA" w:rsidRPr="00200CBF">
              <w:rPr>
                <w:rFonts w:ascii="Calibri" w:eastAsia="Calibri" w:hAnsi="Calibri" w:cs="Times New Roman"/>
                <w:sz w:val="24"/>
                <w:szCs w:val="24"/>
                <w:lang w:val="en-PH"/>
              </w:rPr>
              <w:t>y</w:t>
            </w:r>
            <w:r w:rsidR="00637D56" w:rsidRPr="0051266E">
              <w:rPr>
                <w:rFonts w:ascii="Calibri" w:eastAsia="Calibri" w:hAnsi="Calibri" w:cs="Times New Roman"/>
                <w:sz w:val="24"/>
                <w:szCs w:val="24"/>
                <w:lang w:val="en-PH"/>
              </w:rPr>
              <w:t xml:space="preserve"> a polic</w:t>
            </w:r>
            <w:r w:rsidR="004917AA" w:rsidRPr="00200CBF">
              <w:rPr>
                <w:rFonts w:ascii="Calibri" w:eastAsia="Calibri" w:hAnsi="Calibri" w:cs="Times New Roman"/>
                <w:sz w:val="24"/>
                <w:szCs w:val="24"/>
                <w:lang w:val="en-PH"/>
              </w:rPr>
              <w:t xml:space="preserve">y, </w:t>
            </w:r>
            <w:r w:rsidR="00637D56" w:rsidRPr="0051266E">
              <w:rPr>
                <w:rFonts w:ascii="Calibri" w:eastAsia="Calibri" w:hAnsi="Calibri" w:cs="Times New Roman"/>
                <w:sz w:val="24"/>
                <w:szCs w:val="24"/>
                <w:lang w:val="en-PH"/>
              </w:rPr>
              <w:t xml:space="preserve">but a practice embedded </w:t>
            </w:r>
            <w:r w:rsidR="004917AA" w:rsidRPr="00200CBF">
              <w:rPr>
                <w:rFonts w:ascii="Calibri" w:eastAsia="Calibri" w:hAnsi="Calibri" w:cs="Times New Roman"/>
                <w:sz w:val="24"/>
                <w:szCs w:val="24"/>
                <w:lang w:val="en-PH"/>
              </w:rPr>
              <w:t xml:space="preserve">in </w:t>
            </w:r>
            <w:r w:rsidR="009D3FF3" w:rsidRPr="00200CBF">
              <w:rPr>
                <w:rFonts w:ascii="Calibri" w:eastAsia="Calibri" w:hAnsi="Calibri" w:cs="Times New Roman"/>
                <w:sz w:val="24"/>
                <w:szCs w:val="24"/>
                <w:lang w:val="en-PH"/>
              </w:rPr>
              <w:t xml:space="preserve">their </w:t>
            </w:r>
            <w:r w:rsidR="00637D56" w:rsidRPr="0051266E">
              <w:rPr>
                <w:rFonts w:ascii="Calibri" w:eastAsia="Calibri" w:hAnsi="Calibri" w:cs="Times New Roman"/>
                <w:sz w:val="24"/>
                <w:szCs w:val="24"/>
                <w:lang w:val="en-PH"/>
              </w:rPr>
              <w:t>operations</w:t>
            </w:r>
            <w:r w:rsidR="00596D6B" w:rsidRPr="00200CBF">
              <w:rPr>
                <w:rFonts w:ascii="Calibri" w:eastAsia="Calibri" w:hAnsi="Calibri" w:cs="Times New Roman"/>
                <w:sz w:val="24"/>
                <w:szCs w:val="24"/>
                <w:lang w:val="en-PH"/>
              </w:rPr>
              <w:t>,</w:t>
            </w:r>
            <w:r w:rsidR="00D8744C" w:rsidRPr="00200CBF">
              <w:rPr>
                <w:rFonts w:ascii="Calibri" w:eastAsia="Calibri" w:hAnsi="Calibri" w:cs="Times New Roman"/>
                <w:sz w:val="24"/>
                <w:szCs w:val="24"/>
                <w:lang w:val="en-PH"/>
              </w:rPr>
              <w:t xml:space="preserve"> </w:t>
            </w:r>
            <w:r w:rsidR="00D8744C" w:rsidRPr="00200CBF">
              <w:rPr>
                <w:rFonts w:ascii="Calibri" w:eastAsia="Calibri" w:hAnsi="Calibri" w:cs="Times New Roman"/>
                <w:sz w:val="24"/>
                <w:szCs w:val="24"/>
              </w:rPr>
              <w:t>fostering a culture of accountability that permeates throughout the organization</w:t>
            </w:r>
            <w:r w:rsidR="00637D56" w:rsidRPr="0051266E">
              <w:rPr>
                <w:rFonts w:ascii="Calibri" w:eastAsia="Calibri" w:hAnsi="Calibri" w:cs="Times New Roman"/>
                <w:sz w:val="24"/>
                <w:szCs w:val="24"/>
                <w:lang w:val="en-PH"/>
              </w:rPr>
              <w:t>.</w:t>
            </w:r>
          </w:p>
          <w:p w14:paraId="10282A6C" w14:textId="77777777" w:rsidR="00DD6623" w:rsidRPr="00DD6623" w:rsidRDefault="00DD6623" w:rsidP="00EF34BE">
            <w:pPr>
              <w:jc w:val="both"/>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0014D5D" w14:textId="77777777" w:rsidR="00DD6623" w:rsidRDefault="00DD6623" w:rsidP="00DD6623">
            <w:pPr>
              <w:rPr>
                <w:rFonts w:ascii="Calibri" w:eastAsia="Calibri" w:hAnsi="Calibri" w:cs="Times New Roman"/>
                <w:sz w:val="24"/>
                <w:szCs w:val="24"/>
              </w:rPr>
            </w:pPr>
          </w:p>
          <w:p w14:paraId="2E7D612F" w14:textId="758228B0" w:rsidR="000A47C2" w:rsidRDefault="000A47C2" w:rsidP="009611C8">
            <w:pPr>
              <w:jc w:val="both"/>
              <w:rPr>
                <w:rFonts w:ascii="Calibri" w:eastAsia="Calibri" w:hAnsi="Calibri" w:cs="Times New Roman"/>
                <w:sz w:val="24"/>
                <w:szCs w:val="24"/>
              </w:rPr>
            </w:pPr>
            <w:r w:rsidRPr="000A47C2">
              <w:rPr>
                <w:rFonts w:ascii="Calibri" w:eastAsia="Calibri" w:hAnsi="Calibri" w:cs="Times New Roman"/>
                <w:sz w:val="24"/>
                <w:szCs w:val="24"/>
              </w:rPr>
              <w:t xml:space="preserve">In response to the rapidly evolving digital landscape and growing concerns over personal data protection, the NPC has remained steadfast in its commitment to strengthening data privacy standards and measures. </w:t>
            </w:r>
            <w:r w:rsidR="006015F6">
              <w:rPr>
                <w:rFonts w:ascii="Calibri" w:eastAsia="Calibri" w:hAnsi="Calibri" w:cs="Times New Roman"/>
                <w:sz w:val="24"/>
                <w:szCs w:val="24"/>
              </w:rPr>
              <w:t>This</w:t>
            </w:r>
            <w:r w:rsidR="005E2ED2">
              <w:rPr>
                <w:rFonts w:ascii="Calibri" w:eastAsia="Calibri" w:hAnsi="Calibri" w:cs="Times New Roman"/>
                <w:sz w:val="24"/>
                <w:szCs w:val="24"/>
              </w:rPr>
              <w:t xml:space="preserve"> involves developing</w:t>
            </w:r>
            <w:r w:rsidR="00923440">
              <w:rPr>
                <w:rFonts w:ascii="Calibri" w:eastAsia="Calibri" w:hAnsi="Calibri" w:cs="Times New Roman"/>
                <w:sz w:val="24"/>
                <w:szCs w:val="24"/>
              </w:rPr>
              <w:t xml:space="preserve"> policies that help organizations be more accountable. </w:t>
            </w:r>
          </w:p>
          <w:p w14:paraId="559A9C51" w14:textId="77777777" w:rsidR="000A47C2" w:rsidRDefault="000A47C2" w:rsidP="009611C8">
            <w:pPr>
              <w:jc w:val="both"/>
              <w:rPr>
                <w:rFonts w:ascii="Calibri" w:eastAsia="Calibri" w:hAnsi="Calibri" w:cs="Times New Roman"/>
                <w:sz w:val="24"/>
                <w:szCs w:val="24"/>
              </w:rPr>
            </w:pPr>
          </w:p>
          <w:p w14:paraId="042E92C4" w14:textId="0E5A4F26" w:rsidR="00A97CC5" w:rsidRPr="00DD6623" w:rsidRDefault="006F40B9" w:rsidP="007E4BBE">
            <w:pPr>
              <w:jc w:val="both"/>
              <w:rPr>
                <w:rFonts w:ascii="Calibri" w:eastAsia="Calibri" w:hAnsi="Calibri" w:cs="Times New Roman"/>
                <w:sz w:val="24"/>
                <w:szCs w:val="24"/>
              </w:rPr>
            </w:pPr>
            <w:r>
              <w:rPr>
                <w:rFonts w:ascii="Calibri" w:eastAsia="Calibri" w:hAnsi="Calibri" w:cs="Times New Roman"/>
                <w:sz w:val="24"/>
                <w:szCs w:val="24"/>
              </w:rPr>
              <w:t xml:space="preserve">The NPC </w:t>
            </w:r>
            <w:r w:rsidR="00E12D72">
              <w:rPr>
                <w:rFonts w:ascii="Calibri" w:eastAsia="Calibri" w:hAnsi="Calibri" w:cs="Times New Roman"/>
                <w:sz w:val="24"/>
                <w:szCs w:val="24"/>
              </w:rPr>
              <w:t xml:space="preserve">also </w:t>
            </w:r>
            <w:r>
              <w:rPr>
                <w:rFonts w:ascii="Calibri" w:eastAsia="Calibri" w:hAnsi="Calibri" w:cs="Times New Roman"/>
                <w:sz w:val="24"/>
                <w:szCs w:val="24"/>
              </w:rPr>
              <w:t>emphasizes the importance of involving stakeholders in the development of policies. This includes soliciting public input during the drafting stage and conducting consultations to ensure that the policies address the challenges faced by entities implementing the Data Privacy Act.</w:t>
            </w:r>
            <w:r w:rsidR="00680498">
              <w:rPr>
                <w:rFonts w:ascii="Calibri" w:eastAsia="Calibri" w:hAnsi="Calibri" w:cs="Times New Roman"/>
                <w:sz w:val="24"/>
                <w:szCs w:val="24"/>
              </w:rPr>
              <w:t xml:space="preserve"> </w:t>
            </w:r>
            <w:r w:rsidR="00A97CC5" w:rsidRPr="00A97CC5">
              <w:rPr>
                <w:rFonts w:ascii="Calibri" w:eastAsia="Calibri" w:hAnsi="Calibri" w:cs="Times New Roman"/>
                <w:sz w:val="24"/>
                <w:szCs w:val="24"/>
              </w:rPr>
              <w:t>This collaborative process encourages organizations to adhere to these policies because they have been developed with broad input and scrutiny, increasing commitment to compliance and accountability in implementing data protection measures</w:t>
            </w:r>
            <w:r w:rsidR="00680498">
              <w:rPr>
                <w:rFonts w:ascii="Calibri" w:eastAsia="Calibri" w:hAnsi="Calibri" w:cs="Times New Roman"/>
                <w:sz w:val="24"/>
                <w:szCs w:val="24"/>
              </w:rPr>
              <w:t>.</w:t>
            </w:r>
          </w:p>
          <w:p w14:paraId="2E2FD7DE" w14:textId="77777777" w:rsidR="00DD6623" w:rsidRDefault="00DD6623" w:rsidP="00DD6623">
            <w:pPr>
              <w:rPr>
                <w:rFonts w:ascii="Calibri" w:eastAsia="Calibri" w:hAnsi="Calibri" w:cs="Times New Roman"/>
                <w:sz w:val="24"/>
                <w:szCs w:val="24"/>
              </w:rPr>
            </w:pPr>
          </w:p>
          <w:p w14:paraId="7C79287A" w14:textId="681E3CDA" w:rsidR="00E12D72" w:rsidRDefault="00E12D72" w:rsidP="00E12D72">
            <w:pPr>
              <w:jc w:val="both"/>
              <w:rPr>
                <w:rFonts w:ascii="Calibri" w:eastAsia="Calibri" w:hAnsi="Calibri" w:cs="Times New Roman"/>
                <w:sz w:val="24"/>
                <w:szCs w:val="24"/>
              </w:rPr>
            </w:pPr>
            <w:r w:rsidRPr="009611C8">
              <w:rPr>
                <w:rFonts w:ascii="Calibri" w:eastAsia="Calibri" w:hAnsi="Calibri" w:cs="Times New Roman"/>
                <w:sz w:val="24"/>
                <w:szCs w:val="24"/>
              </w:rPr>
              <w:t xml:space="preserve">By outlining best practices and regulatory requirements, these </w:t>
            </w:r>
            <w:r>
              <w:rPr>
                <w:rFonts w:ascii="Calibri" w:eastAsia="Calibri" w:hAnsi="Calibri" w:cs="Times New Roman"/>
                <w:sz w:val="24"/>
                <w:szCs w:val="24"/>
              </w:rPr>
              <w:t>policies issued by the NPC</w:t>
            </w:r>
            <w:r w:rsidRPr="009611C8">
              <w:rPr>
                <w:rFonts w:ascii="Calibri" w:eastAsia="Calibri" w:hAnsi="Calibri" w:cs="Times New Roman"/>
                <w:sz w:val="24"/>
                <w:szCs w:val="24"/>
              </w:rPr>
              <w:t xml:space="preserve"> aim to ensure that organizations not only comply with legal obligations but also uphold ethical standards in data processing. They cover critical aspects such as data collection, storage, usage, and sharing, emphasizing the importance of transparency, consent, and safeguarding individuals' privacy rights. Through these resources, organizations can enhance their data handling processes and cultivate a culture of accountability in all facets of personal data </w:t>
            </w:r>
            <w:r>
              <w:rPr>
                <w:rFonts w:ascii="Calibri" w:eastAsia="Calibri" w:hAnsi="Calibri" w:cs="Times New Roman"/>
                <w:sz w:val="24"/>
                <w:szCs w:val="24"/>
              </w:rPr>
              <w:t>processing</w:t>
            </w:r>
            <w:r w:rsidRPr="009611C8">
              <w:rPr>
                <w:rFonts w:ascii="Calibri" w:eastAsia="Calibri" w:hAnsi="Calibri" w:cs="Times New Roman"/>
                <w:sz w:val="24"/>
                <w:szCs w:val="24"/>
              </w:rPr>
              <w:t>.</w:t>
            </w:r>
          </w:p>
          <w:p w14:paraId="4120D298" w14:textId="77777777" w:rsidR="00E12D72" w:rsidRPr="00DD6623" w:rsidRDefault="00E12D72" w:rsidP="00DD6623">
            <w:pPr>
              <w:rPr>
                <w:rFonts w:ascii="Calibri" w:eastAsia="Calibri" w:hAnsi="Calibri" w:cs="Times New Roman"/>
                <w:sz w:val="24"/>
                <w:szCs w:val="24"/>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15988401" w14:textId="2208FB00" w:rsidR="00DD6623" w:rsidRPr="00E12D72" w:rsidRDefault="001411D5" w:rsidP="00DD6623">
            <w:pPr>
              <w:rPr>
                <w:rFonts w:ascii="Calibri" w:eastAsia="Calibri" w:hAnsi="Calibri" w:cs="Times New Roman"/>
                <w:i/>
                <w:iCs/>
                <w:sz w:val="24"/>
                <w:szCs w:val="24"/>
              </w:rPr>
            </w:pPr>
            <w:r>
              <w:rPr>
                <w:noProof/>
              </w:rPr>
              <w:lastRenderedPageBreak/>
              <w:drawing>
                <wp:inline distT="0" distB="0" distL="0" distR="0" wp14:anchorId="5100D1CE" wp14:editId="13FB12B2">
                  <wp:extent cx="5731510" cy="3820795"/>
                  <wp:effectExtent l="0" t="0" r="2540" b="8255"/>
                  <wp:docPr id="141142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70CE85E" w14:textId="7DFF3FAB" w:rsidR="00DD6623" w:rsidRPr="00E12D72" w:rsidRDefault="004C49F6" w:rsidP="00DD6623">
            <w:pPr>
              <w:rPr>
                <w:rFonts w:ascii="Calibri" w:eastAsia="Calibri" w:hAnsi="Calibri" w:cs="Times New Roman"/>
                <w:i/>
                <w:iCs/>
                <w:sz w:val="24"/>
                <w:szCs w:val="24"/>
              </w:rPr>
            </w:pPr>
            <w:r w:rsidRPr="00E12D72">
              <w:rPr>
                <w:rFonts w:ascii="Calibri" w:eastAsia="Calibri" w:hAnsi="Calibri" w:cs="Times New Roman"/>
                <w:i/>
                <w:iCs/>
                <w:sz w:val="24"/>
                <w:szCs w:val="24"/>
              </w:rPr>
              <w:t>(AI-generated image</w:t>
            </w:r>
            <w:r w:rsidR="00E12D72" w:rsidRPr="00E12D72">
              <w:rPr>
                <w:rFonts w:ascii="Calibri" w:eastAsia="Calibri" w:hAnsi="Calibri" w:cs="Times New Roman"/>
                <w:i/>
                <w:iCs/>
                <w:sz w:val="24"/>
                <w:szCs w:val="24"/>
              </w:rPr>
              <w:t>)</w:t>
            </w:r>
          </w:p>
          <w:p w14:paraId="653B14FE" w14:textId="77777777" w:rsidR="00DD6623" w:rsidRPr="00E12D72" w:rsidRDefault="00DD6623" w:rsidP="00DD6623">
            <w:pPr>
              <w:rPr>
                <w:rFonts w:ascii="Calibri" w:eastAsia="Calibri" w:hAnsi="Calibri" w:cs="Times New Roman"/>
                <w:i/>
                <w:iCs/>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7777777" w:rsidR="00DD6623" w:rsidRDefault="00DD6623" w:rsidP="00DD6623">
            <w:pPr>
              <w:rPr>
                <w:rFonts w:ascii="Calibri" w:eastAsia="Calibri" w:hAnsi="Calibri" w:cs="Times New Roman"/>
                <w:i/>
                <w:iCs/>
                <w:sz w:val="24"/>
                <w:szCs w:val="24"/>
              </w:rPr>
            </w:pPr>
          </w:p>
          <w:p w14:paraId="448F65AD" w14:textId="5B685AB5" w:rsidR="006D7D36" w:rsidRPr="006D7D36" w:rsidRDefault="006D7D36" w:rsidP="00DD6623">
            <w:pPr>
              <w:rPr>
                <w:rFonts w:ascii="Calibri" w:eastAsia="Calibri" w:hAnsi="Calibri" w:cs="Times New Roman"/>
                <w:sz w:val="24"/>
                <w:szCs w:val="24"/>
              </w:rPr>
            </w:pPr>
            <w:hyperlink r:id="rId13" w:history="1">
              <w:r w:rsidRPr="006D7D36">
                <w:rPr>
                  <w:rStyle w:val="Hyperlink"/>
                  <w:rFonts w:ascii="Calibri" w:eastAsia="Calibri" w:hAnsi="Calibri" w:cs="Times New Roman"/>
                  <w:sz w:val="24"/>
                  <w:szCs w:val="24"/>
                </w:rPr>
                <w:t>NPC Circulars and Advisories</w:t>
              </w:r>
            </w:hyperlink>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1FAD80D8" w14:textId="77777777" w:rsidR="00DD6623" w:rsidRPr="00DD6623" w:rsidRDefault="00DD6623" w:rsidP="00DD6623">
            <w:pPr>
              <w:rPr>
                <w:rFonts w:ascii="Calibri" w:eastAsia="Calibri" w:hAnsi="Calibri" w:cs="Times New Roman"/>
                <w:i/>
                <w:iCs/>
                <w:sz w:val="24"/>
                <w:szCs w:val="24"/>
              </w:rPr>
            </w:pPr>
          </w:p>
          <w:p w14:paraId="0CD48AB7" w14:textId="77777777" w:rsidR="00953A40" w:rsidRPr="00953A40" w:rsidRDefault="00953A40" w:rsidP="00953A40">
            <w:pPr>
              <w:rPr>
                <w:rFonts w:ascii="Calibri" w:eastAsia="Calibri" w:hAnsi="Calibri" w:cs="Times New Roman"/>
                <w:sz w:val="24"/>
                <w:szCs w:val="24"/>
                <w:lang w:val="en-PH"/>
              </w:rPr>
            </w:pPr>
            <w:hyperlink r:id="rId14" w:tgtFrame="_blank" w:tooltip="https://privacy.gov.ph/npc-issues-guidelines-for-personal-data-processing-in-legal-proceedings" w:history="1">
              <w:r w:rsidRPr="00953A40">
                <w:rPr>
                  <w:rStyle w:val="Hyperlink"/>
                  <w:rFonts w:ascii="Calibri" w:eastAsia="Calibri" w:hAnsi="Calibri" w:cs="Times New Roman"/>
                  <w:sz w:val="24"/>
                  <w:szCs w:val="24"/>
                  <w:lang w:val="en-PH"/>
                </w:rPr>
                <w:t>https://privacy.gov.ph/npc-issues-guidelines-for-personal-data-processing-in-legal-proceedings</w:t>
              </w:r>
            </w:hyperlink>
            <w:r w:rsidRPr="00953A40">
              <w:rPr>
                <w:rFonts w:ascii="Calibri" w:eastAsia="Calibri" w:hAnsi="Calibri" w:cs="Times New Roman"/>
                <w:sz w:val="24"/>
                <w:szCs w:val="24"/>
                <w:lang w:val="en-PH"/>
              </w:rPr>
              <w:t>/</w:t>
            </w:r>
          </w:p>
          <w:p w14:paraId="50DA37FD"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5EA2D6E0" w14:textId="77777777" w:rsidR="00953A40" w:rsidRPr="00953A40" w:rsidRDefault="00953A40" w:rsidP="00953A40">
            <w:pPr>
              <w:rPr>
                <w:rFonts w:ascii="Calibri" w:eastAsia="Calibri" w:hAnsi="Calibri" w:cs="Times New Roman"/>
                <w:sz w:val="24"/>
                <w:szCs w:val="24"/>
                <w:lang w:val="en-PH"/>
              </w:rPr>
            </w:pPr>
            <w:hyperlink r:id="rId15" w:tgtFrame="_blank" w:tooltip="https://privacy.gov.ph/npc-issues-circular-on-cctv-systems" w:history="1">
              <w:r w:rsidRPr="00953A40">
                <w:rPr>
                  <w:rStyle w:val="Hyperlink"/>
                  <w:rFonts w:ascii="Calibri" w:eastAsia="Calibri" w:hAnsi="Calibri" w:cs="Times New Roman"/>
                  <w:sz w:val="24"/>
                  <w:szCs w:val="24"/>
                  <w:lang w:val="en-PH"/>
                </w:rPr>
                <w:t>https://privacy.gov.ph/npc-issues-circular-on-cctv-systems</w:t>
              </w:r>
            </w:hyperlink>
            <w:r w:rsidRPr="00953A40">
              <w:rPr>
                <w:rFonts w:ascii="Calibri" w:eastAsia="Calibri" w:hAnsi="Calibri" w:cs="Times New Roman"/>
                <w:sz w:val="24"/>
                <w:szCs w:val="24"/>
                <w:lang w:val="en-PH"/>
              </w:rPr>
              <w:t>/</w:t>
            </w:r>
          </w:p>
          <w:p w14:paraId="281A33C8"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1041426C" w14:textId="77777777" w:rsidR="00953A40" w:rsidRPr="00953A40" w:rsidRDefault="00953A40" w:rsidP="00953A40">
            <w:pPr>
              <w:rPr>
                <w:rFonts w:ascii="Calibri" w:eastAsia="Calibri" w:hAnsi="Calibri" w:cs="Times New Roman"/>
                <w:sz w:val="24"/>
                <w:szCs w:val="24"/>
                <w:lang w:val="en-PH"/>
              </w:rPr>
            </w:pPr>
            <w:hyperlink r:id="rId16" w:tgtFrame="_blank" w:tooltip="https://www.globalcompliancenews.com/2024/09/03/philippines-updated-framework-issued-on-the-use-of-closed-circuit-television-systems" w:history="1">
              <w:r w:rsidRPr="00953A40">
                <w:rPr>
                  <w:rStyle w:val="Hyperlink"/>
                  <w:rFonts w:ascii="Calibri" w:eastAsia="Calibri" w:hAnsi="Calibri" w:cs="Times New Roman"/>
                  <w:sz w:val="24"/>
                  <w:szCs w:val="24"/>
                  <w:lang w:val="en-PH"/>
                </w:rPr>
                <w:t>https://www.globalcompliancenews.com/2024/09/03/philippines-updated-framework-issued-on-the-use-of-closed-circuit-television-systems</w:t>
              </w:r>
            </w:hyperlink>
            <w:r w:rsidRPr="00953A40">
              <w:rPr>
                <w:rFonts w:ascii="Calibri" w:eastAsia="Calibri" w:hAnsi="Calibri" w:cs="Times New Roman"/>
                <w:sz w:val="24"/>
                <w:szCs w:val="24"/>
                <w:lang w:val="en-PH"/>
              </w:rPr>
              <w:t>/</w:t>
            </w:r>
          </w:p>
          <w:p w14:paraId="329DD6A4"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6C402E43" w14:textId="77777777" w:rsidR="00953A40" w:rsidRPr="00953A40" w:rsidRDefault="00953A40" w:rsidP="00953A40">
            <w:pPr>
              <w:rPr>
                <w:rFonts w:ascii="Calibri" w:eastAsia="Calibri" w:hAnsi="Calibri" w:cs="Times New Roman"/>
                <w:sz w:val="24"/>
                <w:szCs w:val="24"/>
                <w:lang w:val="en-PH"/>
              </w:rPr>
            </w:pPr>
            <w:hyperlink r:id="rId17" w:tgtFrame="_blank" w:tooltip="https://www.philstar.com/nation/2024/08/13/2377438/privacy-commission-updates-guidelines-cctv-use/amp/" w:history="1">
              <w:r w:rsidRPr="00953A40">
                <w:rPr>
                  <w:rStyle w:val="Hyperlink"/>
                  <w:rFonts w:ascii="Calibri" w:eastAsia="Calibri" w:hAnsi="Calibri" w:cs="Times New Roman"/>
                  <w:sz w:val="24"/>
                  <w:szCs w:val="24"/>
                  <w:lang w:val="en-PH"/>
                </w:rPr>
                <w:t>https://www.philstar.com/nation/2024/08/13/2377438/privacy-commission-updates-guidelines-cctv-use/amp/</w:t>
              </w:r>
            </w:hyperlink>
          </w:p>
          <w:p w14:paraId="5FDE9478"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78F2A5F1" w14:textId="77777777" w:rsidR="00953A40" w:rsidRPr="00953A40" w:rsidRDefault="00953A40" w:rsidP="00953A40">
            <w:pPr>
              <w:rPr>
                <w:rFonts w:ascii="Calibri" w:eastAsia="Calibri" w:hAnsi="Calibri" w:cs="Times New Roman"/>
                <w:sz w:val="24"/>
                <w:szCs w:val="24"/>
                <w:lang w:val="en-PH"/>
              </w:rPr>
            </w:pPr>
            <w:hyperlink r:id="rId18" w:tgtFrame="_blank" w:tooltip="https://privacy.gov.ph/npc-issues-guidelines-for-personal-data-processing-in-legal-proceedings" w:history="1">
              <w:r w:rsidRPr="00953A40">
                <w:rPr>
                  <w:rStyle w:val="Hyperlink"/>
                  <w:rFonts w:ascii="Calibri" w:eastAsia="Calibri" w:hAnsi="Calibri" w:cs="Times New Roman"/>
                  <w:sz w:val="24"/>
                  <w:szCs w:val="24"/>
                  <w:lang w:val="en-PH"/>
                </w:rPr>
                <w:t>https://privacy.gov.ph/npc-issues-guidelines-for-personal-data-processing-in-legal-proceedings</w:t>
              </w:r>
            </w:hyperlink>
            <w:r w:rsidRPr="00953A40">
              <w:rPr>
                <w:rFonts w:ascii="Calibri" w:eastAsia="Calibri" w:hAnsi="Calibri" w:cs="Times New Roman"/>
                <w:sz w:val="24"/>
                <w:szCs w:val="24"/>
                <w:lang w:val="en-PH"/>
              </w:rPr>
              <w:t>/</w:t>
            </w:r>
          </w:p>
          <w:p w14:paraId="0FD51367"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7C560BD7" w14:textId="77777777" w:rsidR="00953A40" w:rsidRPr="00953A40" w:rsidRDefault="00953A40" w:rsidP="00953A40">
            <w:pPr>
              <w:rPr>
                <w:rFonts w:ascii="Calibri" w:eastAsia="Calibri" w:hAnsi="Calibri" w:cs="Times New Roman"/>
                <w:sz w:val="24"/>
                <w:szCs w:val="24"/>
                <w:lang w:val="en-PH"/>
              </w:rPr>
            </w:pPr>
            <w:hyperlink r:id="rId19" w:tgtFrame="_blank" w:tooltip="https://privacy.gov.ph/npc-issues-circular-on-cctv-systems" w:history="1">
              <w:r w:rsidRPr="00953A40">
                <w:rPr>
                  <w:rStyle w:val="Hyperlink"/>
                  <w:rFonts w:ascii="Calibri" w:eastAsia="Calibri" w:hAnsi="Calibri" w:cs="Times New Roman"/>
                  <w:sz w:val="24"/>
                  <w:szCs w:val="24"/>
                  <w:lang w:val="en-PH"/>
                </w:rPr>
                <w:t>https://privacy.gov.ph/npc-issues-circular-on-cctv-systems</w:t>
              </w:r>
            </w:hyperlink>
            <w:r w:rsidRPr="00953A40">
              <w:rPr>
                <w:rFonts w:ascii="Calibri" w:eastAsia="Calibri" w:hAnsi="Calibri" w:cs="Times New Roman"/>
                <w:sz w:val="24"/>
                <w:szCs w:val="24"/>
                <w:lang w:val="en-PH"/>
              </w:rPr>
              <w:t>/</w:t>
            </w:r>
          </w:p>
          <w:p w14:paraId="0C112481"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08B223D6" w14:textId="77777777" w:rsidR="00953A40" w:rsidRPr="00953A40" w:rsidRDefault="00953A40" w:rsidP="00953A40">
            <w:pPr>
              <w:rPr>
                <w:rFonts w:ascii="Calibri" w:eastAsia="Calibri" w:hAnsi="Calibri" w:cs="Times New Roman"/>
                <w:sz w:val="24"/>
                <w:szCs w:val="24"/>
                <w:lang w:val="en-PH"/>
              </w:rPr>
            </w:pPr>
            <w:hyperlink r:id="rId20" w:tgtFrame="_blank" w:tooltip="https://www.globalcompliancenews.com/2024/09/03/philippines-updated-framework-issued-on-the-use-of-closed-circuit-television-systems" w:history="1">
              <w:r w:rsidRPr="00953A40">
                <w:rPr>
                  <w:rStyle w:val="Hyperlink"/>
                  <w:rFonts w:ascii="Calibri" w:eastAsia="Calibri" w:hAnsi="Calibri" w:cs="Times New Roman"/>
                  <w:sz w:val="24"/>
                  <w:szCs w:val="24"/>
                  <w:lang w:val="en-PH"/>
                </w:rPr>
                <w:t>https://www.globalcompliancenews.com/2024/09/03/philippines-updated-framework-issued-on-the-use-of-closed-circuit-television-systems</w:t>
              </w:r>
            </w:hyperlink>
            <w:r w:rsidRPr="00953A40">
              <w:rPr>
                <w:rFonts w:ascii="Calibri" w:eastAsia="Calibri" w:hAnsi="Calibri" w:cs="Times New Roman"/>
                <w:sz w:val="24"/>
                <w:szCs w:val="24"/>
                <w:lang w:val="en-PH"/>
              </w:rPr>
              <w:t>/</w:t>
            </w:r>
          </w:p>
          <w:p w14:paraId="35157A59" w14:textId="77777777" w:rsidR="00953A40" w:rsidRPr="00953A40" w:rsidRDefault="00953A40" w:rsidP="00953A40">
            <w:pPr>
              <w:rPr>
                <w:rFonts w:ascii="Calibri" w:eastAsia="Calibri" w:hAnsi="Calibri" w:cs="Times New Roman"/>
                <w:sz w:val="24"/>
                <w:szCs w:val="24"/>
                <w:lang w:val="en-PH"/>
              </w:rPr>
            </w:pPr>
            <w:r w:rsidRPr="00953A40">
              <w:rPr>
                <w:rFonts w:ascii="Calibri" w:eastAsia="Calibri" w:hAnsi="Calibri" w:cs="Times New Roman"/>
                <w:sz w:val="24"/>
                <w:szCs w:val="24"/>
                <w:lang w:val="en-PH"/>
              </w:rPr>
              <w:t> </w:t>
            </w:r>
          </w:p>
          <w:p w14:paraId="14036540" w14:textId="77777777" w:rsidR="00953A40" w:rsidRPr="00953A40" w:rsidRDefault="00953A40" w:rsidP="00953A40">
            <w:pPr>
              <w:rPr>
                <w:rFonts w:ascii="Calibri" w:eastAsia="Calibri" w:hAnsi="Calibri" w:cs="Times New Roman"/>
                <w:sz w:val="24"/>
                <w:szCs w:val="24"/>
                <w:lang w:val="en-PH"/>
              </w:rPr>
            </w:pPr>
            <w:hyperlink r:id="rId21" w:tgtFrame="_blank" w:tooltip="https://www.philstar.com/nation/2024/08/13/2377438/privacy-commission-updates-guidelines-cctv-use/amp/" w:history="1">
              <w:r w:rsidRPr="00953A40">
                <w:rPr>
                  <w:rStyle w:val="Hyperlink"/>
                  <w:rFonts w:ascii="Calibri" w:eastAsia="Calibri" w:hAnsi="Calibri" w:cs="Times New Roman"/>
                  <w:sz w:val="24"/>
                  <w:szCs w:val="24"/>
                  <w:lang w:val="en-PH"/>
                </w:rPr>
                <w:t>https://www.philstar.com/nation/2024/08/13/2377438/privacy-commission-updates-guidelines-cctv-use/amp/</w:t>
              </w:r>
            </w:hyperlink>
          </w:p>
          <w:p w14:paraId="230354C0" w14:textId="61501593" w:rsidR="00DD6623" w:rsidRPr="00DD6623" w:rsidRDefault="00953A40" w:rsidP="00953A40">
            <w:pPr>
              <w:rPr>
                <w:rFonts w:ascii="Calibri" w:eastAsia="Calibri" w:hAnsi="Calibri" w:cs="Times New Roman"/>
                <w:sz w:val="24"/>
                <w:szCs w:val="24"/>
              </w:rPr>
            </w:pPr>
            <w:r w:rsidRPr="00953A40">
              <w:rPr>
                <w:rFonts w:ascii="Calibri" w:eastAsia="Calibri" w:hAnsi="Calibri" w:cs="Times New Roman"/>
                <w:sz w:val="24"/>
                <w:szCs w:val="24"/>
                <w:lang w:val="en-PH"/>
              </w:rPr>
              <w:t> </w:t>
            </w: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22"/>
      <w:footerReference w:type="default" r:id="rId23"/>
      <w:headerReference w:type="first" r:id="rId24"/>
      <w:footerReference w:type="first" r:id="rId2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6FA6E" w14:textId="77777777" w:rsidR="0036082F" w:rsidRDefault="0036082F" w:rsidP="00F41B32">
      <w:pPr>
        <w:spacing w:after="0" w:line="240" w:lineRule="auto"/>
      </w:pPr>
      <w:r>
        <w:separator/>
      </w:r>
    </w:p>
  </w:endnote>
  <w:endnote w:type="continuationSeparator" w:id="0">
    <w:p w14:paraId="49BD0817" w14:textId="77777777" w:rsidR="0036082F" w:rsidRDefault="0036082F" w:rsidP="00F41B32">
      <w:pPr>
        <w:spacing w:after="0" w:line="240" w:lineRule="auto"/>
      </w:pPr>
      <w:r>
        <w:continuationSeparator/>
      </w:r>
    </w:p>
  </w:endnote>
  <w:endnote w:type="continuationNotice" w:id="1">
    <w:p w14:paraId="4A7552FD" w14:textId="77777777" w:rsidR="0036082F" w:rsidRDefault="00360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7552"/>
      <w:docPartObj>
        <w:docPartGallery w:val="Page Numbers (Bottom of Page)"/>
        <w:docPartUnique/>
      </w:docPartObj>
    </w:sdtPr>
    <w:sdtEndPr>
      <w:rPr>
        <w:noProof/>
      </w:rPr>
    </w:sdtEndPr>
    <w:sdtContent>
      <w:p w14:paraId="464DD53D" w14:textId="77777777" w:rsidR="00DE7A0D" w:rsidRDefault="00DE7A0D">
        <w:pPr>
          <w:pStyle w:val="Footer"/>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067744"/>
      <w:docPartObj>
        <w:docPartGallery w:val="Page Numbers (Bottom of Page)"/>
        <w:docPartUnique/>
      </w:docPartObj>
    </w:sdtPr>
    <w:sdtEndPr>
      <w:rPr>
        <w:noProof/>
      </w:rPr>
    </w:sdtEndPr>
    <w:sdtContent>
      <w:p w14:paraId="37498756" w14:textId="31506E9E" w:rsidR="0082165F" w:rsidRDefault="008216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047CA" w14:textId="77777777" w:rsidR="0036082F" w:rsidRDefault="0036082F" w:rsidP="00F41B32">
      <w:pPr>
        <w:spacing w:after="0" w:line="240" w:lineRule="auto"/>
      </w:pPr>
      <w:r>
        <w:separator/>
      </w:r>
    </w:p>
  </w:footnote>
  <w:footnote w:type="continuationSeparator" w:id="0">
    <w:p w14:paraId="11839F90" w14:textId="77777777" w:rsidR="0036082F" w:rsidRDefault="0036082F" w:rsidP="00F41B32">
      <w:pPr>
        <w:spacing w:after="0" w:line="240" w:lineRule="auto"/>
      </w:pPr>
      <w:r>
        <w:continuationSeparator/>
      </w:r>
    </w:p>
  </w:footnote>
  <w:footnote w:type="continuationNotice" w:id="1">
    <w:p w14:paraId="1BA17086" w14:textId="77777777" w:rsidR="0036082F" w:rsidRDefault="0036082F">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680E" w14:textId="5B04ECB8" w:rsidR="00FE1CBF" w:rsidRDefault="0CF9034D" w:rsidP="00FE1CBF">
    <w:pPr>
      <w:pStyle w:val="Header"/>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2041782953">
    <w:abstractNumId w:val="0"/>
  </w:num>
  <w:num w:numId="2" w16cid:durableId="1919173016">
    <w:abstractNumId w:val="3"/>
  </w:num>
  <w:num w:numId="3" w16cid:durableId="1738243251">
    <w:abstractNumId w:val="1"/>
  </w:num>
  <w:num w:numId="4" w16cid:durableId="182015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214"/>
    <w:rsid w:val="00054D8F"/>
    <w:rsid w:val="00074986"/>
    <w:rsid w:val="0009071F"/>
    <w:rsid w:val="000A47C2"/>
    <w:rsid w:val="001248D2"/>
    <w:rsid w:val="001268C5"/>
    <w:rsid w:val="00131317"/>
    <w:rsid w:val="001336A6"/>
    <w:rsid w:val="001411D5"/>
    <w:rsid w:val="00150BA3"/>
    <w:rsid w:val="00157CF5"/>
    <w:rsid w:val="00171841"/>
    <w:rsid w:val="00177F95"/>
    <w:rsid w:val="00193EBC"/>
    <w:rsid w:val="001B1447"/>
    <w:rsid w:val="001B3DD8"/>
    <w:rsid w:val="001B3FE8"/>
    <w:rsid w:val="001C599C"/>
    <w:rsid w:val="001D4FC2"/>
    <w:rsid w:val="00200CBF"/>
    <w:rsid w:val="00203D0D"/>
    <w:rsid w:val="00206A70"/>
    <w:rsid w:val="00216430"/>
    <w:rsid w:val="00222395"/>
    <w:rsid w:val="00235848"/>
    <w:rsid w:val="002604F5"/>
    <w:rsid w:val="00281428"/>
    <w:rsid w:val="00285331"/>
    <w:rsid w:val="002A14DF"/>
    <w:rsid w:val="002C086E"/>
    <w:rsid w:val="002C7E73"/>
    <w:rsid w:val="002D106F"/>
    <w:rsid w:val="002E3546"/>
    <w:rsid w:val="002F7D3D"/>
    <w:rsid w:val="00301994"/>
    <w:rsid w:val="00313CFA"/>
    <w:rsid w:val="00314165"/>
    <w:rsid w:val="00316AE1"/>
    <w:rsid w:val="0036082F"/>
    <w:rsid w:val="003800F5"/>
    <w:rsid w:val="003A0EC7"/>
    <w:rsid w:val="003A37D3"/>
    <w:rsid w:val="003B7DAA"/>
    <w:rsid w:val="003C44B8"/>
    <w:rsid w:val="003D58FC"/>
    <w:rsid w:val="003E230C"/>
    <w:rsid w:val="003E5F09"/>
    <w:rsid w:val="004215A0"/>
    <w:rsid w:val="004254AB"/>
    <w:rsid w:val="004273C0"/>
    <w:rsid w:val="0043397E"/>
    <w:rsid w:val="004467A0"/>
    <w:rsid w:val="0046797A"/>
    <w:rsid w:val="00471E98"/>
    <w:rsid w:val="00480B2C"/>
    <w:rsid w:val="004917AA"/>
    <w:rsid w:val="0049273F"/>
    <w:rsid w:val="004C41B3"/>
    <w:rsid w:val="004C49F6"/>
    <w:rsid w:val="004D168A"/>
    <w:rsid w:val="004D1E2E"/>
    <w:rsid w:val="004D492C"/>
    <w:rsid w:val="004E5F37"/>
    <w:rsid w:val="00500A57"/>
    <w:rsid w:val="00502848"/>
    <w:rsid w:val="0051266E"/>
    <w:rsid w:val="00514A4F"/>
    <w:rsid w:val="0055297E"/>
    <w:rsid w:val="00571B1B"/>
    <w:rsid w:val="0057237B"/>
    <w:rsid w:val="00575B22"/>
    <w:rsid w:val="00596D6B"/>
    <w:rsid w:val="005C0354"/>
    <w:rsid w:val="005C4BA8"/>
    <w:rsid w:val="005E12FC"/>
    <w:rsid w:val="005E2304"/>
    <w:rsid w:val="005E2ED2"/>
    <w:rsid w:val="005E4FDC"/>
    <w:rsid w:val="00600353"/>
    <w:rsid w:val="006015F6"/>
    <w:rsid w:val="00633D54"/>
    <w:rsid w:val="00635F70"/>
    <w:rsid w:val="00637D56"/>
    <w:rsid w:val="00645EEC"/>
    <w:rsid w:val="00664058"/>
    <w:rsid w:val="006756E8"/>
    <w:rsid w:val="00680498"/>
    <w:rsid w:val="0068231A"/>
    <w:rsid w:val="006832D5"/>
    <w:rsid w:val="006838B5"/>
    <w:rsid w:val="00697F72"/>
    <w:rsid w:val="006A3D3A"/>
    <w:rsid w:val="006C7E85"/>
    <w:rsid w:val="006D7D36"/>
    <w:rsid w:val="006E1894"/>
    <w:rsid w:val="006F40B9"/>
    <w:rsid w:val="0070032E"/>
    <w:rsid w:val="007033DB"/>
    <w:rsid w:val="0071587F"/>
    <w:rsid w:val="0072573D"/>
    <w:rsid w:val="00747895"/>
    <w:rsid w:val="00792750"/>
    <w:rsid w:val="007B2B44"/>
    <w:rsid w:val="007B487B"/>
    <w:rsid w:val="007B64F9"/>
    <w:rsid w:val="007B6E8E"/>
    <w:rsid w:val="007D00E1"/>
    <w:rsid w:val="007E1652"/>
    <w:rsid w:val="007E4BBE"/>
    <w:rsid w:val="00805A48"/>
    <w:rsid w:val="00806684"/>
    <w:rsid w:val="00816ED0"/>
    <w:rsid w:val="0082165F"/>
    <w:rsid w:val="0082183A"/>
    <w:rsid w:val="00830CDA"/>
    <w:rsid w:val="00863C68"/>
    <w:rsid w:val="008718F7"/>
    <w:rsid w:val="00876F86"/>
    <w:rsid w:val="008C5697"/>
    <w:rsid w:val="008D3516"/>
    <w:rsid w:val="00903E7C"/>
    <w:rsid w:val="00914EF6"/>
    <w:rsid w:val="00923440"/>
    <w:rsid w:val="009436CD"/>
    <w:rsid w:val="0095082F"/>
    <w:rsid w:val="00953A40"/>
    <w:rsid w:val="009611C8"/>
    <w:rsid w:val="0096680F"/>
    <w:rsid w:val="009B3AEE"/>
    <w:rsid w:val="009D3FF3"/>
    <w:rsid w:val="00A04F81"/>
    <w:rsid w:val="00A0554A"/>
    <w:rsid w:val="00A062A0"/>
    <w:rsid w:val="00A17047"/>
    <w:rsid w:val="00A3098B"/>
    <w:rsid w:val="00A30B63"/>
    <w:rsid w:val="00A42A5D"/>
    <w:rsid w:val="00A45AD6"/>
    <w:rsid w:val="00A56192"/>
    <w:rsid w:val="00A5731B"/>
    <w:rsid w:val="00A947E7"/>
    <w:rsid w:val="00A97CC5"/>
    <w:rsid w:val="00AC02D8"/>
    <w:rsid w:val="00AD7936"/>
    <w:rsid w:val="00AF2415"/>
    <w:rsid w:val="00B17318"/>
    <w:rsid w:val="00B53D6B"/>
    <w:rsid w:val="00B541DD"/>
    <w:rsid w:val="00B62F7A"/>
    <w:rsid w:val="00B667CF"/>
    <w:rsid w:val="00B75191"/>
    <w:rsid w:val="00B831EB"/>
    <w:rsid w:val="00B875A3"/>
    <w:rsid w:val="00B93E0E"/>
    <w:rsid w:val="00B97F8D"/>
    <w:rsid w:val="00BA5275"/>
    <w:rsid w:val="00BB6A10"/>
    <w:rsid w:val="00BD206E"/>
    <w:rsid w:val="00BD2F98"/>
    <w:rsid w:val="00BE700F"/>
    <w:rsid w:val="00BF49F3"/>
    <w:rsid w:val="00C0436F"/>
    <w:rsid w:val="00C209C3"/>
    <w:rsid w:val="00C27874"/>
    <w:rsid w:val="00C574B1"/>
    <w:rsid w:val="00C67697"/>
    <w:rsid w:val="00C91AFF"/>
    <w:rsid w:val="00C96C3C"/>
    <w:rsid w:val="00C97DE0"/>
    <w:rsid w:val="00CA1BD3"/>
    <w:rsid w:val="00CB0A28"/>
    <w:rsid w:val="00CB241A"/>
    <w:rsid w:val="00CE741E"/>
    <w:rsid w:val="00D15EEF"/>
    <w:rsid w:val="00D2147F"/>
    <w:rsid w:val="00D229BE"/>
    <w:rsid w:val="00D456F2"/>
    <w:rsid w:val="00D479F1"/>
    <w:rsid w:val="00D557B8"/>
    <w:rsid w:val="00D60184"/>
    <w:rsid w:val="00D62805"/>
    <w:rsid w:val="00D67BB7"/>
    <w:rsid w:val="00D81921"/>
    <w:rsid w:val="00D8609E"/>
    <w:rsid w:val="00D8744C"/>
    <w:rsid w:val="00D97CA0"/>
    <w:rsid w:val="00DC1A77"/>
    <w:rsid w:val="00DC58A3"/>
    <w:rsid w:val="00DC6E06"/>
    <w:rsid w:val="00DC71D9"/>
    <w:rsid w:val="00DD6623"/>
    <w:rsid w:val="00DE2947"/>
    <w:rsid w:val="00DE7A0D"/>
    <w:rsid w:val="00DF40FC"/>
    <w:rsid w:val="00E02E87"/>
    <w:rsid w:val="00E12D72"/>
    <w:rsid w:val="00E43076"/>
    <w:rsid w:val="00E57180"/>
    <w:rsid w:val="00E90C6C"/>
    <w:rsid w:val="00E933E6"/>
    <w:rsid w:val="00EC33D2"/>
    <w:rsid w:val="00ED0600"/>
    <w:rsid w:val="00ED6FD7"/>
    <w:rsid w:val="00EE20D0"/>
    <w:rsid w:val="00EE7D51"/>
    <w:rsid w:val="00EF34BE"/>
    <w:rsid w:val="00F00A94"/>
    <w:rsid w:val="00F41B32"/>
    <w:rsid w:val="00F70D03"/>
    <w:rsid w:val="00F83EFA"/>
    <w:rsid w:val="00F92904"/>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1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4849">
      <w:bodyDiv w:val="1"/>
      <w:marLeft w:val="0"/>
      <w:marRight w:val="0"/>
      <w:marTop w:val="0"/>
      <w:marBottom w:val="0"/>
      <w:divBdr>
        <w:top w:val="none" w:sz="0" w:space="0" w:color="auto"/>
        <w:left w:val="none" w:sz="0" w:space="0" w:color="auto"/>
        <w:bottom w:val="none" w:sz="0" w:space="0" w:color="auto"/>
        <w:right w:val="none" w:sz="0" w:space="0" w:color="auto"/>
      </w:divBdr>
    </w:div>
    <w:div w:id="36902005">
      <w:bodyDiv w:val="1"/>
      <w:marLeft w:val="0"/>
      <w:marRight w:val="0"/>
      <w:marTop w:val="0"/>
      <w:marBottom w:val="0"/>
      <w:divBdr>
        <w:top w:val="none" w:sz="0" w:space="0" w:color="auto"/>
        <w:left w:val="none" w:sz="0" w:space="0" w:color="auto"/>
        <w:bottom w:val="none" w:sz="0" w:space="0" w:color="auto"/>
        <w:right w:val="none" w:sz="0" w:space="0" w:color="auto"/>
      </w:divBdr>
      <w:divsChild>
        <w:div w:id="1257057618">
          <w:marLeft w:val="0"/>
          <w:marRight w:val="0"/>
          <w:marTop w:val="0"/>
          <w:marBottom w:val="0"/>
          <w:divBdr>
            <w:top w:val="none" w:sz="0" w:space="0" w:color="auto"/>
            <w:left w:val="none" w:sz="0" w:space="0" w:color="auto"/>
            <w:bottom w:val="none" w:sz="0" w:space="0" w:color="auto"/>
            <w:right w:val="none" w:sz="0" w:space="0" w:color="auto"/>
          </w:divBdr>
        </w:div>
        <w:div w:id="688406813">
          <w:marLeft w:val="0"/>
          <w:marRight w:val="0"/>
          <w:marTop w:val="0"/>
          <w:marBottom w:val="0"/>
          <w:divBdr>
            <w:top w:val="none" w:sz="0" w:space="0" w:color="auto"/>
            <w:left w:val="none" w:sz="0" w:space="0" w:color="auto"/>
            <w:bottom w:val="none" w:sz="0" w:space="0" w:color="auto"/>
            <w:right w:val="none" w:sz="0" w:space="0" w:color="auto"/>
          </w:divBdr>
        </w:div>
        <w:div w:id="183641788">
          <w:marLeft w:val="0"/>
          <w:marRight w:val="0"/>
          <w:marTop w:val="0"/>
          <w:marBottom w:val="0"/>
          <w:divBdr>
            <w:top w:val="none" w:sz="0" w:space="0" w:color="auto"/>
            <w:left w:val="none" w:sz="0" w:space="0" w:color="auto"/>
            <w:bottom w:val="none" w:sz="0" w:space="0" w:color="auto"/>
            <w:right w:val="none" w:sz="0" w:space="0" w:color="auto"/>
          </w:divBdr>
        </w:div>
      </w:divsChild>
    </w:div>
    <w:div w:id="213582745">
      <w:bodyDiv w:val="1"/>
      <w:marLeft w:val="0"/>
      <w:marRight w:val="0"/>
      <w:marTop w:val="0"/>
      <w:marBottom w:val="0"/>
      <w:divBdr>
        <w:top w:val="none" w:sz="0" w:space="0" w:color="auto"/>
        <w:left w:val="none" w:sz="0" w:space="0" w:color="auto"/>
        <w:bottom w:val="none" w:sz="0" w:space="0" w:color="auto"/>
        <w:right w:val="none" w:sz="0" w:space="0" w:color="auto"/>
      </w:divBdr>
      <w:divsChild>
        <w:div w:id="1855999037">
          <w:marLeft w:val="0"/>
          <w:marRight w:val="0"/>
          <w:marTop w:val="0"/>
          <w:marBottom w:val="0"/>
          <w:divBdr>
            <w:top w:val="none" w:sz="0" w:space="0" w:color="auto"/>
            <w:left w:val="none" w:sz="0" w:space="0" w:color="auto"/>
            <w:bottom w:val="none" w:sz="0" w:space="0" w:color="auto"/>
            <w:right w:val="none" w:sz="0" w:space="0" w:color="auto"/>
          </w:divBdr>
        </w:div>
        <w:div w:id="1338849608">
          <w:marLeft w:val="0"/>
          <w:marRight w:val="0"/>
          <w:marTop w:val="0"/>
          <w:marBottom w:val="0"/>
          <w:divBdr>
            <w:top w:val="none" w:sz="0" w:space="0" w:color="auto"/>
            <w:left w:val="none" w:sz="0" w:space="0" w:color="auto"/>
            <w:bottom w:val="none" w:sz="0" w:space="0" w:color="auto"/>
            <w:right w:val="none" w:sz="0" w:space="0" w:color="auto"/>
          </w:divBdr>
        </w:div>
        <w:div w:id="93206235">
          <w:marLeft w:val="0"/>
          <w:marRight w:val="0"/>
          <w:marTop w:val="0"/>
          <w:marBottom w:val="0"/>
          <w:divBdr>
            <w:top w:val="none" w:sz="0" w:space="0" w:color="auto"/>
            <w:left w:val="none" w:sz="0" w:space="0" w:color="auto"/>
            <w:bottom w:val="none" w:sz="0" w:space="0" w:color="auto"/>
            <w:right w:val="none" w:sz="0" w:space="0" w:color="auto"/>
          </w:divBdr>
        </w:div>
      </w:divsChild>
    </w:div>
    <w:div w:id="393771663">
      <w:bodyDiv w:val="1"/>
      <w:marLeft w:val="0"/>
      <w:marRight w:val="0"/>
      <w:marTop w:val="0"/>
      <w:marBottom w:val="0"/>
      <w:divBdr>
        <w:top w:val="none" w:sz="0" w:space="0" w:color="auto"/>
        <w:left w:val="none" w:sz="0" w:space="0" w:color="auto"/>
        <w:bottom w:val="none" w:sz="0" w:space="0" w:color="auto"/>
        <w:right w:val="none" w:sz="0" w:space="0" w:color="auto"/>
      </w:divBdr>
    </w:div>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822812134">
      <w:bodyDiv w:val="1"/>
      <w:marLeft w:val="0"/>
      <w:marRight w:val="0"/>
      <w:marTop w:val="0"/>
      <w:marBottom w:val="0"/>
      <w:divBdr>
        <w:top w:val="none" w:sz="0" w:space="0" w:color="auto"/>
        <w:left w:val="none" w:sz="0" w:space="0" w:color="auto"/>
        <w:bottom w:val="none" w:sz="0" w:space="0" w:color="auto"/>
        <w:right w:val="none" w:sz="0" w:space="0" w:color="auto"/>
      </w:divBdr>
    </w:div>
    <w:div w:id="1067415208">
      <w:bodyDiv w:val="1"/>
      <w:marLeft w:val="0"/>
      <w:marRight w:val="0"/>
      <w:marTop w:val="0"/>
      <w:marBottom w:val="0"/>
      <w:divBdr>
        <w:top w:val="none" w:sz="0" w:space="0" w:color="auto"/>
        <w:left w:val="none" w:sz="0" w:space="0" w:color="auto"/>
        <w:bottom w:val="none" w:sz="0" w:space="0" w:color="auto"/>
        <w:right w:val="none" w:sz="0" w:space="0" w:color="auto"/>
      </w:divBdr>
    </w:div>
    <w:div w:id="1370492000">
      <w:bodyDiv w:val="1"/>
      <w:marLeft w:val="0"/>
      <w:marRight w:val="0"/>
      <w:marTop w:val="0"/>
      <w:marBottom w:val="0"/>
      <w:divBdr>
        <w:top w:val="none" w:sz="0" w:space="0" w:color="auto"/>
        <w:left w:val="none" w:sz="0" w:space="0" w:color="auto"/>
        <w:bottom w:val="none" w:sz="0" w:space="0" w:color="auto"/>
        <w:right w:val="none" w:sz="0" w:space="0" w:color="auto"/>
      </w:divBdr>
    </w:div>
    <w:div w:id="176005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ivacy.gov.ph/pips-and-pics/advisories-circulars/" TargetMode="External"/><Relationship Id="rId18" Type="http://schemas.openxmlformats.org/officeDocument/2006/relationships/hyperlink" Target="https://privacy.gov.ph/npc-issues-guidelines-for-personal-data-processing-in-legal-proceeding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philstar.com/nation/2024/08/13/2377438/privacy-commission-updates-guidelines-cctv-use/am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philstar.com/nation/2024/08/13/2377438/privacy-commission-updates-guidelines-cctv-use/am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lobalcompliancenews.com/2024/09/03/philippines-updated-framework-issued-on-the-use-of-closed-circuit-television-systems" TargetMode="External"/><Relationship Id="rId20" Type="http://schemas.openxmlformats.org/officeDocument/2006/relationships/hyperlink" Target="https://www.globalcompliancenews.com/2024/09/03/philippines-updated-framework-issued-on-the-use-of-closed-circuit-television-syste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privacy.gov.ph/npc-issues-circular-on-cctv-system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rivacy.gov.ph/npc-issues-circular-on-cctv-syste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ivacy.gov.ph/npc-issues-guidelines-for-personal-data-processing-in-legal-proceedings"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customXml/itemProps3.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4.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947</Words>
  <Characters>8336</Characters>
  <Application>Microsoft Office Word</Application>
  <DocSecurity>0</DocSecurity>
  <Lines>219</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Issa Gayas</cp:lastModifiedBy>
  <cp:revision>4</cp:revision>
  <dcterms:created xsi:type="dcterms:W3CDTF">2025-06-09T03:09:00Z</dcterms:created>
  <dcterms:modified xsi:type="dcterms:W3CDTF">2025-06-09T04:05:00Z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