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D502" w14:textId="77777777" w:rsidR="00F41B32" w:rsidRDefault="00F41B32">
      <w:pPr>
        <w:rPr>
          <w:noProof/>
          <w:lang w:eastAsia="en-NZ"/>
        </w:rPr>
      </w:pPr>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leGrid"/>
        <w:tblW w:w="0" w:type="auto"/>
        <w:tblLook w:val="04A0" w:firstRow="1" w:lastRow="0" w:firstColumn="1" w:lastColumn="0" w:noHBand="0" w:noVBand="1"/>
      </w:tblPr>
      <w:tblGrid>
        <w:gridCol w:w="3114"/>
        <w:gridCol w:w="2896"/>
        <w:gridCol w:w="3006"/>
      </w:tblGrid>
      <w:tr w:rsidR="00DD6623" w:rsidRPr="00DD6623" w14:paraId="4743AFEC" w14:textId="77777777" w:rsidTr="5E9353FF">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5"/>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D6623" w14:paraId="727980C0" w14:textId="77777777" w:rsidTr="5E9353FF">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1F289219" w14:textId="15B9F402" w:rsidR="00DD6623" w:rsidRPr="00DD6623" w:rsidRDefault="00AC269B" w:rsidP="00DD6623">
            <w:pPr>
              <w:rPr>
                <w:rFonts w:ascii="Calibri" w:eastAsia="Calibri" w:hAnsi="Calibri" w:cs="Times New Roman"/>
                <w:sz w:val="24"/>
                <w:szCs w:val="24"/>
              </w:rPr>
            </w:pPr>
            <w:r>
              <w:rPr>
                <w:rFonts w:ascii="Calibri" w:eastAsia="Calibri" w:hAnsi="Calibri" w:cs="Times New Roman"/>
                <w:sz w:val="24"/>
                <w:szCs w:val="24"/>
              </w:rPr>
              <w:t xml:space="preserve">Office of the </w:t>
            </w:r>
            <w:r w:rsidR="00643E8E">
              <w:rPr>
                <w:rFonts w:ascii="Calibri" w:eastAsia="Calibri" w:hAnsi="Calibri" w:cs="Times New Roman"/>
                <w:sz w:val="24"/>
                <w:szCs w:val="24"/>
              </w:rPr>
              <w:t>Information and Privacy Commissioner of Ontario</w:t>
            </w:r>
          </w:p>
        </w:tc>
      </w:tr>
      <w:tr w:rsidR="00DD6623" w:rsidRPr="00DD6623" w14:paraId="07BC78E5" w14:textId="77777777" w:rsidTr="5E9353FF">
        <w:tc>
          <w:tcPr>
            <w:tcW w:w="3114" w:type="dxa"/>
            <w:tcBorders>
              <w:top w:val="nil"/>
              <w:left w:val="nil"/>
              <w:bottom w:val="nil"/>
              <w:right w:val="nil"/>
            </w:tcBorders>
          </w:tcPr>
          <w:p w14:paraId="3E9E62BE" w14:textId="77777777" w:rsidR="00281428" w:rsidRDefault="00281428" w:rsidP="00DD6623">
            <w:pPr>
              <w:rPr>
                <w:rFonts w:ascii="Calibri" w:eastAsia="Calibri" w:hAnsi="Calibri" w:cs="Times New Roman"/>
                <w:sz w:val="24"/>
                <w:szCs w:val="24"/>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2AF6A8CF" w14:textId="0A3D5F07" w:rsidR="5E9353FF" w:rsidRDefault="5E9353FF" w:rsidP="5E9353FF">
            <w:pPr>
              <w:rPr>
                <w:rFonts w:ascii="Calibri" w:eastAsia="Calibri" w:hAnsi="Calibri" w:cs="Times New Roman"/>
                <w:sz w:val="24"/>
                <w:szCs w:val="24"/>
              </w:rPr>
            </w:pPr>
          </w:p>
          <w:p w14:paraId="4145162E" w14:textId="4A3EBE2E" w:rsidR="00DD6623" w:rsidRPr="00DD6623" w:rsidRDefault="004B3AC7" w:rsidP="00DD6623">
            <w:pPr>
              <w:rPr>
                <w:rFonts w:ascii="Calibri" w:eastAsia="Calibri" w:hAnsi="Calibri" w:cs="Times New Roman"/>
                <w:sz w:val="24"/>
                <w:szCs w:val="24"/>
              </w:rPr>
            </w:pPr>
            <w:r>
              <w:rPr>
                <w:rFonts w:ascii="Calibri" w:eastAsia="Calibri" w:hAnsi="Calibri" w:cs="Times New Roman"/>
                <w:sz w:val="24"/>
                <w:szCs w:val="24"/>
              </w:rPr>
              <w:t>Patricia</w:t>
            </w:r>
          </w:p>
        </w:tc>
        <w:tc>
          <w:tcPr>
            <w:tcW w:w="3006" w:type="dxa"/>
            <w:tcBorders>
              <w:left w:val="nil"/>
              <w:bottom w:val="single" w:sz="4" w:space="0" w:color="auto"/>
              <w:right w:val="nil"/>
            </w:tcBorders>
          </w:tcPr>
          <w:p w14:paraId="32CA8041" w14:textId="70538AAF" w:rsidR="5E9353FF" w:rsidRDefault="5E9353FF" w:rsidP="5E9353FF">
            <w:pPr>
              <w:rPr>
                <w:rFonts w:ascii="Calibri" w:eastAsia="Calibri" w:hAnsi="Calibri" w:cs="Times New Roman"/>
                <w:sz w:val="24"/>
                <w:szCs w:val="24"/>
              </w:rPr>
            </w:pPr>
          </w:p>
          <w:p w14:paraId="1270AD7E" w14:textId="24FA7035" w:rsidR="00DD6623" w:rsidRPr="00DD6623" w:rsidRDefault="004B3AC7" w:rsidP="00DD6623">
            <w:pPr>
              <w:rPr>
                <w:rFonts w:ascii="Calibri" w:eastAsia="Calibri" w:hAnsi="Calibri" w:cs="Times New Roman"/>
                <w:sz w:val="24"/>
                <w:szCs w:val="24"/>
              </w:rPr>
            </w:pPr>
            <w:r>
              <w:rPr>
                <w:rFonts w:ascii="Calibri" w:eastAsia="Calibri" w:hAnsi="Calibri" w:cs="Times New Roman"/>
                <w:sz w:val="24"/>
                <w:szCs w:val="24"/>
              </w:rPr>
              <w:t>Kosseim</w:t>
            </w:r>
          </w:p>
        </w:tc>
      </w:tr>
      <w:tr w:rsidR="00DD6623" w:rsidRPr="00DD6623" w14:paraId="56BD8758" w14:textId="77777777" w:rsidTr="5E9353FF">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5E9353FF">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6FF8D833" w14:textId="77777777" w:rsidR="0082183A" w:rsidRDefault="0082183A" w:rsidP="00DD6623">
            <w:pPr>
              <w:rPr>
                <w:rFonts w:ascii="Calibri" w:eastAsia="Calibri" w:hAnsi="Calibri" w:cs="Times New Roman"/>
                <w:sz w:val="24"/>
                <w:szCs w:val="24"/>
              </w:rPr>
            </w:pPr>
          </w:p>
          <w:p w14:paraId="3465E3FD" w14:textId="2E989AB9" w:rsidR="004B3AC7" w:rsidRPr="00DD6623" w:rsidRDefault="004B3AC7" w:rsidP="00DD6623">
            <w:pPr>
              <w:rPr>
                <w:rFonts w:ascii="Calibri" w:eastAsia="Calibri" w:hAnsi="Calibri" w:cs="Times New Roman"/>
                <w:sz w:val="24"/>
                <w:szCs w:val="24"/>
              </w:rPr>
            </w:pPr>
            <w:r>
              <w:rPr>
                <w:rFonts w:ascii="Calibri" w:eastAsia="Calibri" w:hAnsi="Calibri" w:cs="Times New Roman"/>
                <w:sz w:val="24"/>
                <w:szCs w:val="24"/>
              </w:rPr>
              <w:t>Commissioner</w:t>
            </w:r>
          </w:p>
        </w:tc>
      </w:tr>
      <w:tr w:rsidR="00DD6623" w:rsidRPr="00DD6623" w14:paraId="251CE3BD" w14:textId="77777777" w:rsidTr="5E9353FF">
        <w:tc>
          <w:tcPr>
            <w:tcW w:w="3114" w:type="dxa"/>
            <w:tcBorders>
              <w:top w:val="nil"/>
              <w:left w:val="nil"/>
              <w:bottom w:val="nil"/>
              <w:right w:val="nil"/>
            </w:tcBorders>
          </w:tcPr>
          <w:p w14:paraId="1C6F200A" w14:textId="77777777"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674C1BCB" w14:textId="77777777" w:rsidR="00DD6623" w:rsidRDefault="00DD6623" w:rsidP="00DD6623">
            <w:pPr>
              <w:rPr>
                <w:rFonts w:ascii="Calibri" w:eastAsia="Calibri" w:hAnsi="Calibri" w:cs="Times New Roman"/>
                <w:sz w:val="24"/>
                <w:szCs w:val="24"/>
              </w:rPr>
            </w:pPr>
          </w:p>
          <w:p w14:paraId="1390626E" w14:textId="40A22B72" w:rsidR="004B3AC7" w:rsidRPr="00DD6623" w:rsidRDefault="005D2EAF" w:rsidP="00DD6623">
            <w:pPr>
              <w:rPr>
                <w:rFonts w:ascii="Calibri" w:eastAsia="Calibri" w:hAnsi="Calibri" w:cs="Times New Roman"/>
                <w:sz w:val="24"/>
                <w:szCs w:val="24"/>
              </w:rPr>
            </w:pPr>
            <w:hyperlink r:id="rId12" w:history="1">
              <w:r w:rsidRPr="000F55E5">
                <w:rPr>
                  <w:rStyle w:val="Hyperlink"/>
                  <w:rFonts w:ascii="Calibri" w:eastAsia="Calibri" w:hAnsi="Calibri" w:cs="Times New Roman"/>
                  <w:sz w:val="24"/>
                  <w:szCs w:val="24"/>
                </w:rPr>
                <w:t>commissioner.ipc@ipc.on.ca</w:t>
              </w:r>
            </w:hyperlink>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5"/>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F5191B">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Content>
            <w:tc>
              <w:tcPr>
                <w:tcW w:w="562" w:type="dxa"/>
                <w:tcBorders>
                  <w:top w:val="nil"/>
                  <w:left w:val="nil"/>
                  <w:bottom w:val="nil"/>
                  <w:right w:val="nil"/>
                </w:tcBorders>
              </w:tcPr>
              <w:p w14:paraId="57F12A79" w14:textId="78E8FC9C" w:rsidR="00DD6623" w:rsidRPr="00DD6623" w:rsidRDefault="00643E8E"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Content>
            <w:tc>
              <w:tcPr>
                <w:tcW w:w="562" w:type="dxa"/>
                <w:tcBorders>
                  <w:top w:val="nil"/>
                  <w:left w:val="nil"/>
                  <w:bottom w:val="nil"/>
                  <w:right w:val="nil"/>
                </w:tcBorders>
              </w:tcPr>
              <w:p w14:paraId="2C874554" w14:textId="4F3B062D" w:rsidR="00DD6623" w:rsidRPr="00DD6623" w:rsidRDefault="00643E8E"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Content>
            <w:tc>
              <w:tcPr>
                <w:tcW w:w="562" w:type="dxa"/>
                <w:tcBorders>
                  <w:top w:val="nil"/>
                  <w:left w:val="nil"/>
                  <w:bottom w:val="nil"/>
                  <w:right w:val="nil"/>
                </w:tcBorders>
              </w:tcPr>
              <w:p w14:paraId="77948D8F" w14:textId="200BA8A2" w:rsidR="00DD6623" w:rsidRPr="00DD6623" w:rsidRDefault="00643E8E"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2ADF8640" w14:textId="77777777" w:rsidTr="1D1E68D0">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5"/>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1D1E68D0">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1D1E68D0">
        <w:sdt>
          <w:sdtPr>
            <w:rPr>
              <w:rFonts w:ascii="Calibri" w:eastAsia="Calibri" w:hAnsi="Calibri" w:cs="Times New Roman"/>
              <w:sz w:val="24"/>
              <w:szCs w:val="24"/>
            </w:rPr>
            <w:id w:val="1934468849"/>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3C020621" w14:textId="37B917BD" w:rsidR="00DD6623" w:rsidRPr="00DD6623" w:rsidRDefault="00F63F94"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1D1E68D0">
        <w:sdt>
          <w:sdtPr>
            <w:rPr>
              <w:rFonts w:ascii="Calibri" w:eastAsia="Calibri" w:hAnsi="Calibri" w:cs="Times New Roman"/>
              <w:sz w:val="24"/>
              <w:szCs w:val="24"/>
            </w:rPr>
            <w:id w:val="-450475627"/>
            <w14:checkbox>
              <w14:checked w14:val="1"/>
              <w14:checkedState w14:val="2612" w14:font="MS Gothic"/>
              <w14:uncheckedState w14:val="2610" w14:font="MS Gothic"/>
            </w14:checkbox>
          </w:sdtPr>
          <w:sdtContent>
            <w:tc>
              <w:tcPr>
                <w:tcW w:w="562" w:type="dxa"/>
                <w:tcBorders>
                  <w:top w:val="nil"/>
                  <w:left w:val="nil"/>
                  <w:bottom w:val="nil"/>
                  <w:right w:val="nil"/>
                </w:tcBorders>
              </w:tcPr>
              <w:p w14:paraId="0EA7DA18" w14:textId="23A606D8" w:rsidR="00DD6623" w:rsidRPr="00DD6623" w:rsidRDefault="00F63F94"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1D1E68D0">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1D1E68D0">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1D1E68D0">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08C2F58" w:rsidR="00DD6623" w:rsidRPr="00DD6623" w:rsidRDefault="00DD6623" w:rsidP="00167E37">
            <w:pPr>
              <w:contextualSpacing/>
              <w:rPr>
                <w:rFonts w:ascii="Calibri" w:eastAsia="Calibri" w:hAnsi="Calibri" w:cs="Times New Roman"/>
                <w:sz w:val="24"/>
                <w:szCs w:val="24"/>
              </w:rPr>
            </w:pPr>
            <w:r w:rsidRPr="1D1E68D0">
              <w:rPr>
                <w:rFonts w:ascii="Calibri" w:eastAsia="Calibri" w:hAnsi="Calibri" w:cs="Times New Roman"/>
                <w:sz w:val="24"/>
                <w:szCs w:val="24"/>
              </w:rPr>
              <w:t>People’s Choice</w:t>
            </w:r>
          </w:p>
        </w:tc>
      </w:tr>
      <w:tr w:rsidR="00DD6623" w:rsidRPr="00DD6623" w14:paraId="2E7A6B83" w14:textId="77777777" w:rsidTr="1D1E68D0">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5"/>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lastRenderedPageBreak/>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6C36CC8D" w14:textId="77777777" w:rsidTr="775FEF4E">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6"/>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a brief summary of the initiative </w:t>
            </w:r>
            <w:r w:rsidRPr="00DD6623">
              <w:rPr>
                <w:rFonts w:ascii="Calibri" w:eastAsia="Calibri" w:hAnsi="Calibri" w:cs="Times New Roman"/>
                <w:i/>
                <w:iCs/>
                <w:sz w:val="24"/>
                <w:szCs w:val="24"/>
              </w:rPr>
              <w:t>(no more than 75 words)</w:t>
            </w:r>
          </w:p>
        </w:tc>
      </w:tr>
      <w:tr w:rsidR="00DD6623" w:rsidRPr="00DD6623" w14:paraId="2C2796ED" w14:textId="77777777" w:rsidTr="775FEF4E">
        <w:tc>
          <w:tcPr>
            <w:tcW w:w="9016" w:type="dxa"/>
            <w:tcBorders>
              <w:left w:val="single" w:sz="4" w:space="0" w:color="auto"/>
              <w:right w:val="single" w:sz="4" w:space="0" w:color="auto"/>
            </w:tcBorders>
          </w:tcPr>
          <w:p w14:paraId="4217F53A" w14:textId="680194BA" w:rsidR="00DD6623" w:rsidRPr="00DD6623" w:rsidRDefault="364CE03A" w:rsidP="775FEF4E">
            <w:pPr>
              <w:shd w:val="clear" w:color="auto" w:fill="FFFFFF" w:themeFill="background1"/>
              <w:spacing w:after="450"/>
              <w:rPr>
                <w:rFonts w:eastAsiaTheme="minorEastAsia"/>
                <w:sz w:val="24"/>
                <w:szCs w:val="24"/>
              </w:rPr>
            </w:pPr>
            <w:r w:rsidRPr="775FEF4E">
              <w:rPr>
                <w:rFonts w:eastAsiaTheme="minorEastAsia"/>
                <w:sz w:val="24"/>
                <w:szCs w:val="24"/>
              </w:rPr>
              <w:t xml:space="preserve">Small health operators often lack access to </w:t>
            </w:r>
            <w:r w:rsidR="168F3414" w:rsidRPr="775FEF4E">
              <w:rPr>
                <w:rFonts w:eastAsiaTheme="minorEastAsia"/>
                <w:sz w:val="24"/>
                <w:szCs w:val="24"/>
              </w:rPr>
              <w:t xml:space="preserve">the necessary </w:t>
            </w:r>
            <w:r w:rsidRPr="775FEF4E">
              <w:rPr>
                <w:rFonts w:eastAsiaTheme="minorEastAsia"/>
                <w:sz w:val="24"/>
                <w:szCs w:val="24"/>
              </w:rPr>
              <w:t xml:space="preserve">resources </w:t>
            </w:r>
            <w:r w:rsidR="0041CE33" w:rsidRPr="775FEF4E">
              <w:rPr>
                <w:rFonts w:eastAsiaTheme="minorEastAsia"/>
                <w:sz w:val="24"/>
                <w:szCs w:val="24"/>
              </w:rPr>
              <w:t xml:space="preserve">to build </w:t>
            </w:r>
            <w:r w:rsidR="087C6A5D" w:rsidRPr="775FEF4E">
              <w:rPr>
                <w:rFonts w:eastAsiaTheme="minorEastAsia"/>
                <w:sz w:val="24"/>
                <w:szCs w:val="24"/>
              </w:rPr>
              <w:t xml:space="preserve">strong </w:t>
            </w:r>
            <w:r w:rsidR="0041CE33" w:rsidRPr="775FEF4E">
              <w:rPr>
                <w:rFonts w:eastAsiaTheme="minorEastAsia"/>
                <w:sz w:val="24"/>
                <w:szCs w:val="24"/>
              </w:rPr>
              <w:t xml:space="preserve">privacy </w:t>
            </w:r>
            <w:r w:rsidR="08B7E121" w:rsidRPr="775FEF4E">
              <w:rPr>
                <w:rFonts w:eastAsiaTheme="minorEastAsia"/>
                <w:sz w:val="24"/>
                <w:szCs w:val="24"/>
              </w:rPr>
              <w:t xml:space="preserve">and </w:t>
            </w:r>
            <w:r w:rsidR="0041CE33" w:rsidRPr="775FEF4E">
              <w:rPr>
                <w:rFonts w:eastAsiaTheme="minorEastAsia"/>
                <w:sz w:val="24"/>
                <w:szCs w:val="24"/>
              </w:rPr>
              <w:t xml:space="preserve">accountability </w:t>
            </w:r>
            <w:r w:rsidR="2B5C4F7C" w:rsidRPr="775FEF4E">
              <w:rPr>
                <w:rFonts w:eastAsiaTheme="minorEastAsia"/>
                <w:sz w:val="24"/>
                <w:szCs w:val="24"/>
              </w:rPr>
              <w:t xml:space="preserve">management programs </w:t>
            </w:r>
            <w:r w:rsidR="620B24A3" w:rsidRPr="775FEF4E">
              <w:rPr>
                <w:rFonts w:eastAsiaTheme="minorEastAsia"/>
                <w:sz w:val="24"/>
                <w:szCs w:val="24"/>
              </w:rPr>
              <w:t xml:space="preserve">to </w:t>
            </w:r>
            <w:r w:rsidR="6000E101" w:rsidRPr="775FEF4E">
              <w:rPr>
                <w:rFonts w:eastAsiaTheme="minorEastAsia"/>
                <w:sz w:val="24"/>
                <w:szCs w:val="24"/>
              </w:rPr>
              <w:t xml:space="preserve">protect </w:t>
            </w:r>
            <w:r w:rsidR="620B24A3" w:rsidRPr="775FEF4E">
              <w:rPr>
                <w:rFonts w:eastAsiaTheme="minorEastAsia"/>
                <w:sz w:val="24"/>
                <w:szCs w:val="24"/>
              </w:rPr>
              <w:t>t</w:t>
            </w:r>
            <w:r w:rsidR="0041CE33" w:rsidRPr="775FEF4E">
              <w:rPr>
                <w:rFonts w:eastAsiaTheme="minorEastAsia"/>
                <w:sz w:val="24"/>
                <w:szCs w:val="24"/>
              </w:rPr>
              <w:t>he personal health information in their custody</w:t>
            </w:r>
            <w:r w:rsidR="23217683" w:rsidRPr="775FEF4E">
              <w:rPr>
                <w:rFonts w:eastAsiaTheme="minorEastAsia"/>
                <w:sz w:val="24"/>
                <w:szCs w:val="24"/>
              </w:rPr>
              <w:t xml:space="preserve"> or control</w:t>
            </w:r>
            <w:r w:rsidR="0041CE33" w:rsidRPr="775FEF4E">
              <w:rPr>
                <w:rFonts w:eastAsiaTheme="minorEastAsia"/>
                <w:sz w:val="24"/>
                <w:szCs w:val="24"/>
              </w:rPr>
              <w:t xml:space="preserve">.  </w:t>
            </w:r>
            <w:r w:rsidR="108C3BDF" w:rsidRPr="775FEF4E">
              <w:rPr>
                <w:rFonts w:eastAsiaTheme="minorEastAsia"/>
                <w:sz w:val="24"/>
                <w:szCs w:val="24"/>
              </w:rPr>
              <w:t xml:space="preserve">Since we don’t expect busy health care practitioners to be privacy experts, the </w:t>
            </w:r>
            <w:r w:rsidR="0041CE33" w:rsidRPr="775FEF4E">
              <w:rPr>
                <w:rFonts w:eastAsiaTheme="minorEastAsia"/>
                <w:sz w:val="24"/>
                <w:szCs w:val="24"/>
              </w:rPr>
              <w:t xml:space="preserve">IPC </w:t>
            </w:r>
            <w:r w:rsidR="0FEC3C36" w:rsidRPr="775FEF4E">
              <w:rPr>
                <w:rFonts w:eastAsiaTheme="minorEastAsia"/>
                <w:sz w:val="24"/>
                <w:szCs w:val="24"/>
              </w:rPr>
              <w:t xml:space="preserve">created </w:t>
            </w:r>
            <w:r w:rsidR="46D4CE3D" w:rsidRPr="775FEF4E">
              <w:rPr>
                <w:rFonts w:eastAsiaTheme="minorEastAsia"/>
                <w:sz w:val="24"/>
                <w:szCs w:val="24"/>
              </w:rPr>
              <w:t>a</w:t>
            </w:r>
            <w:r w:rsidR="0FEC3C36" w:rsidRPr="775FEF4E">
              <w:rPr>
                <w:rFonts w:eastAsiaTheme="minorEastAsia"/>
                <w:sz w:val="24"/>
                <w:szCs w:val="24"/>
              </w:rPr>
              <w:t xml:space="preserve"> </w:t>
            </w:r>
            <w:r w:rsidR="0FEC3C36" w:rsidRPr="775FEF4E">
              <w:rPr>
                <w:rFonts w:eastAsiaTheme="minorEastAsia"/>
                <w:color w:val="2F2F2F"/>
                <w:sz w:val="24"/>
                <w:szCs w:val="24"/>
              </w:rPr>
              <w:t xml:space="preserve">Privacy Management Handbook for Small Health Care Organizations </w:t>
            </w:r>
            <w:r w:rsidR="0041CE33" w:rsidRPr="775FEF4E">
              <w:rPr>
                <w:rFonts w:eastAsiaTheme="minorEastAsia"/>
                <w:sz w:val="24"/>
                <w:szCs w:val="24"/>
              </w:rPr>
              <w:t xml:space="preserve">to assist them in </w:t>
            </w:r>
            <w:r w:rsidR="7E0E4108" w:rsidRPr="775FEF4E">
              <w:rPr>
                <w:rFonts w:eastAsiaTheme="minorEastAsia"/>
                <w:sz w:val="24"/>
                <w:szCs w:val="24"/>
              </w:rPr>
              <w:t>laying</w:t>
            </w:r>
            <w:r w:rsidR="0041CE33" w:rsidRPr="775FEF4E">
              <w:rPr>
                <w:rFonts w:eastAsiaTheme="minorEastAsia"/>
                <w:sz w:val="24"/>
                <w:szCs w:val="24"/>
              </w:rPr>
              <w:t xml:space="preserve"> </w:t>
            </w:r>
            <w:r w:rsidR="2FBE80DA" w:rsidRPr="775FEF4E">
              <w:rPr>
                <w:rFonts w:eastAsiaTheme="minorEastAsia"/>
                <w:sz w:val="24"/>
                <w:szCs w:val="24"/>
              </w:rPr>
              <w:t xml:space="preserve">the foundations of a </w:t>
            </w:r>
            <w:r w:rsidR="0041CE33" w:rsidRPr="775FEF4E">
              <w:rPr>
                <w:rFonts w:eastAsiaTheme="minorEastAsia"/>
                <w:sz w:val="24"/>
                <w:szCs w:val="24"/>
              </w:rPr>
              <w:t xml:space="preserve">privacy </w:t>
            </w:r>
            <w:r w:rsidR="4897EE20" w:rsidRPr="775FEF4E">
              <w:rPr>
                <w:rFonts w:eastAsiaTheme="minorEastAsia"/>
                <w:sz w:val="24"/>
                <w:szCs w:val="24"/>
              </w:rPr>
              <w:t xml:space="preserve">management </w:t>
            </w:r>
            <w:r w:rsidR="0041CE33" w:rsidRPr="775FEF4E">
              <w:rPr>
                <w:rFonts w:eastAsiaTheme="minorEastAsia"/>
                <w:sz w:val="24"/>
                <w:szCs w:val="24"/>
              </w:rPr>
              <w:t>program</w:t>
            </w:r>
            <w:r w:rsidR="306922B2" w:rsidRPr="775FEF4E">
              <w:rPr>
                <w:rFonts w:eastAsiaTheme="minorEastAsia"/>
                <w:sz w:val="24"/>
                <w:szCs w:val="24"/>
              </w:rPr>
              <w:t xml:space="preserve"> they can continue to </w:t>
            </w:r>
            <w:r w:rsidR="3E1D1E9B" w:rsidRPr="775FEF4E">
              <w:rPr>
                <w:rFonts w:eastAsiaTheme="minorEastAsia"/>
                <w:sz w:val="24"/>
                <w:szCs w:val="24"/>
              </w:rPr>
              <w:t xml:space="preserve">build upon and </w:t>
            </w:r>
            <w:r w:rsidR="306922B2" w:rsidRPr="775FEF4E">
              <w:rPr>
                <w:rFonts w:eastAsiaTheme="minorEastAsia"/>
                <w:sz w:val="24"/>
                <w:szCs w:val="24"/>
              </w:rPr>
              <w:t>improve over time</w:t>
            </w:r>
            <w:r w:rsidR="5F1CF743" w:rsidRPr="775FEF4E">
              <w:rPr>
                <w:rFonts w:eastAsiaTheme="minorEastAsia"/>
                <w:sz w:val="24"/>
                <w:szCs w:val="24"/>
              </w:rPr>
              <w:t>.</w:t>
            </w: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A1E0CF5" w14:textId="77777777" w:rsidTr="15C4B828">
        <w:tc>
          <w:tcPr>
            <w:tcW w:w="9016" w:type="dxa"/>
            <w:tcBorders>
              <w:top w:val="nil"/>
              <w:left w:val="nil"/>
              <w:right w:val="nil"/>
            </w:tcBorders>
          </w:tcPr>
          <w:p w14:paraId="757239BD" w14:textId="77777777" w:rsidR="00DD6623" w:rsidRPr="00DD6623" w:rsidRDefault="00DD6623" w:rsidP="00DD6623">
            <w:pPr>
              <w:numPr>
                <w:ilvl w:val="0"/>
                <w:numId w:val="6"/>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15C4B828">
        <w:tc>
          <w:tcPr>
            <w:tcW w:w="9016" w:type="dxa"/>
            <w:tcBorders>
              <w:left w:val="single" w:sz="4" w:space="0" w:color="auto"/>
              <w:right w:val="single" w:sz="4" w:space="0" w:color="auto"/>
            </w:tcBorders>
          </w:tcPr>
          <w:p w14:paraId="32C7A31F" w14:textId="25356D5C" w:rsidR="1D1E68D0" w:rsidRDefault="1D1E68D0" w:rsidP="1D1E68D0">
            <w:pPr>
              <w:rPr>
                <w:rFonts w:ascii="Calibri" w:eastAsia="Calibri" w:hAnsi="Calibri" w:cs="Times New Roman"/>
                <w:sz w:val="24"/>
                <w:szCs w:val="24"/>
              </w:rPr>
            </w:pPr>
          </w:p>
          <w:p w14:paraId="668999A0" w14:textId="698414DA" w:rsidR="46278D3A" w:rsidRDefault="2C5C64D1" w:rsidP="775FEF4E">
            <w:pPr>
              <w:rPr>
                <w:rFonts w:ascii="Calibri" w:eastAsia="Calibri" w:hAnsi="Calibri" w:cs="Times New Roman"/>
                <w:sz w:val="24"/>
                <w:szCs w:val="24"/>
              </w:rPr>
            </w:pPr>
            <w:r w:rsidRPr="775FEF4E">
              <w:rPr>
                <w:rFonts w:ascii="Calibri" w:eastAsia="Calibri" w:hAnsi="Calibri" w:cs="Times New Roman"/>
                <w:sz w:val="24"/>
                <w:szCs w:val="24"/>
              </w:rPr>
              <w:t>The</w:t>
            </w:r>
            <w:r w:rsidR="7B305812" w:rsidRPr="775FEF4E">
              <w:rPr>
                <w:rFonts w:ascii="Calibri" w:eastAsia="Calibri" w:hAnsi="Calibri" w:cs="Times New Roman"/>
                <w:sz w:val="24"/>
                <w:szCs w:val="24"/>
              </w:rPr>
              <w:t xml:space="preserve"> </w:t>
            </w:r>
            <w:r w:rsidR="7B305812" w:rsidRPr="775FEF4E">
              <w:rPr>
                <w:rFonts w:eastAsiaTheme="minorEastAsia"/>
                <w:color w:val="2F2F2F"/>
                <w:sz w:val="24"/>
                <w:szCs w:val="24"/>
              </w:rPr>
              <w:t xml:space="preserve">Privacy Management Handbook for Small Health Care Organizations </w:t>
            </w:r>
            <w:r w:rsidR="76641C3B" w:rsidRPr="775FEF4E">
              <w:rPr>
                <w:rFonts w:eastAsiaTheme="minorEastAsia"/>
                <w:color w:val="2F2F2F"/>
                <w:sz w:val="24"/>
                <w:szCs w:val="24"/>
              </w:rPr>
              <w:t xml:space="preserve">(handbook) </w:t>
            </w:r>
            <w:r w:rsidR="7B305812" w:rsidRPr="775FEF4E">
              <w:rPr>
                <w:rFonts w:ascii="Calibri" w:eastAsia="Calibri" w:hAnsi="Calibri" w:cs="Calibri"/>
                <w:sz w:val="24"/>
                <w:szCs w:val="24"/>
              </w:rPr>
              <w:t>help</w:t>
            </w:r>
            <w:r w:rsidR="44DB3600" w:rsidRPr="775FEF4E">
              <w:rPr>
                <w:rFonts w:ascii="Calibri" w:eastAsia="Calibri" w:hAnsi="Calibri" w:cs="Calibri"/>
                <w:sz w:val="24"/>
                <w:szCs w:val="24"/>
              </w:rPr>
              <w:t>s individual practitioners and small health care organizations</w:t>
            </w:r>
            <w:r w:rsidR="7B305812" w:rsidRPr="775FEF4E">
              <w:rPr>
                <w:rFonts w:ascii="Calibri" w:eastAsia="Calibri" w:hAnsi="Calibri" w:cs="Calibri"/>
                <w:sz w:val="24"/>
                <w:szCs w:val="24"/>
              </w:rPr>
              <w:t xml:space="preserve"> set up a privacy management framework </w:t>
            </w:r>
            <w:r w:rsidR="07C31806" w:rsidRPr="775FEF4E">
              <w:rPr>
                <w:rFonts w:ascii="Calibri" w:eastAsia="Calibri" w:hAnsi="Calibri" w:cs="Calibri"/>
                <w:sz w:val="24"/>
                <w:szCs w:val="24"/>
              </w:rPr>
              <w:t xml:space="preserve">that is right-sized </w:t>
            </w:r>
            <w:r w:rsidR="7B305812" w:rsidRPr="775FEF4E">
              <w:rPr>
                <w:rFonts w:ascii="Calibri" w:eastAsia="Calibri" w:hAnsi="Calibri" w:cs="Calibri"/>
                <w:sz w:val="24"/>
                <w:szCs w:val="24"/>
              </w:rPr>
              <w:t xml:space="preserve">for </w:t>
            </w:r>
            <w:r w:rsidR="35175E75" w:rsidRPr="775FEF4E">
              <w:rPr>
                <w:rFonts w:ascii="Calibri" w:eastAsia="Calibri" w:hAnsi="Calibri" w:cs="Calibri"/>
                <w:sz w:val="24"/>
                <w:szCs w:val="24"/>
              </w:rPr>
              <w:t>their</w:t>
            </w:r>
            <w:r w:rsidR="7B305812" w:rsidRPr="775FEF4E">
              <w:rPr>
                <w:rFonts w:ascii="Calibri" w:eastAsia="Calibri" w:hAnsi="Calibri" w:cs="Calibri"/>
                <w:sz w:val="24"/>
                <w:szCs w:val="24"/>
              </w:rPr>
              <w:t xml:space="preserve"> practice. </w:t>
            </w:r>
            <w:r w:rsidR="4A757116" w:rsidRPr="775FEF4E">
              <w:rPr>
                <w:rFonts w:ascii="Calibri" w:eastAsia="Calibri" w:hAnsi="Calibri" w:cs="Times New Roman"/>
                <w:sz w:val="24"/>
                <w:szCs w:val="24"/>
              </w:rPr>
              <w:t xml:space="preserve">Using this handbook </w:t>
            </w:r>
            <w:r w:rsidR="3C97914F" w:rsidRPr="775FEF4E">
              <w:rPr>
                <w:rFonts w:ascii="Calibri" w:eastAsia="Calibri" w:hAnsi="Calibri" w:cs="Times New Roman"/>
                <w:sz w:val="24"/>
                <w:szCs w:val="24"/>
              </w:rPr>
              <w:t>can</w:t>
            </w:r>
            <w:r w:rsidR="4A757116" w:rsidRPr="775FEF4E">
              <w:rPr>
                <w:rFonts w:ascii="Calibri" w:eastAsia="Calibri" w:hAnsi="Calibri" w:cs="Times New Roman"/>
                <w:sz w:val="24"/>
                <w:szCs w:val="24"/>
              </w:rPr>
              <w:t xml:space="preserve"> help identify potential gaps or weaknesses in information </w:t>
            </w:r>
            <w:r w:rsidR="4060E82C" w:rsidRPr="775FEF4E">
              <w:rPr>
                <w:rFonts w:ascii="Calibri" w:eastAsia="Calibri" w:hAnsi="Calibri" w:cs="Times New Roman"/>
                <w:sz w:val="24"/>
                <w:szCs w:val="24"/>
              </w:rPr>
              <w:t xml:space="preserve">management </w:t>
            </w:r>
            <w:r w:rsidR="4A757116" w:rsidRPr="775FEF4E">
              <w:rPr>
                <w:rFonts w:ascii="Calibri" w:eastAsia="Calibri" w:hAnsi="Calibri" w:cs="Times New Roman"/>
                <w:sz w:val="24"/>
                <w:szCs w:val="24"/>
              </w:rPr>
              <w:t xml:space="preserve">practices that could be </w:t>
            </w:r>
            <w:r w:rsidR="3F99BAA4" w:rsidRPr="775FEF4E">
              <w:rPr>
                <w:rFonts w:ascii="Calibri" w:eastAsia="Calibri" w:hAnsi="Calibri" w:cs="Times New Roman"/>
                <w:sz w:val="24"/>
                <w:szCs w:val="24"/>
              </w:rPr>
              <w:t xml:space="preserve">continually </w:t>
            </w:r>
            <w:r w:rsidR="4A757116" w:rsidRPr="775FEF4E">
              <w:rPr>
                <w:rFonts w:ascii="Calibri" w:eastAsia="Calibri" w:hAnsi="Calibri" w:cs="Times New Roman"/>
                <w:sz w:val="24"/>
                <w:szCs w:val="24"/>
              </w:rPr>
              <w:t>strengthened to better protect personal health information</w:t>
            </w:r>
            <w:r w:rsidR="6304DDA7" w:rsidRPr="775FEF4E">
              <w:rPr>
                <w:rFonts w:ascii="Calibri" w:eastAsia="Calibri" w:hAnsi="Calibri" w:cs="Times New Roman"/>
                <w:sz w:val="24"/>
                <w:szCs w:val="24"/>
              </w:rPr>
              <w:t xml:space="preserve"> and preserve patients’ trust.</w:t>
            </w:r>
            <w:r w:rsidR="4A757116" w:rsidRPr="775FEF4E">
              <w:rPr>
                <w:rFonts w:ascii="Calibri" w:eastAsia="Calibri" w:hAnsi="Calibri" w:cs="Times New Roman"/>
                <w:sz w:val="24"/>
                <w:szCs w:val="24"/>
              </w:rPr>
              <w:t xml:space="preserve"> </w:t>
            </w:r>
          </w:p>
          <w:p w14:paraId="21533878" w14:textId="507AF506" w:rsidR="46278D3A" w:rsidRDefault="46278D3A" w:rsidP="775FEF4E">
            <w:pPr>
              <w:rPr>
                <w:rFonts w:ascii="Calibri" w:eastAsia="Calibri" w:hAnsi="Calibri" w:cs="Times New Roman"/>
                <w:sz w:val="24"/>
                <w:szCs w:val="24"/>
              </w:rPr>
            </w:pPr>
          </w:p>
          <w:p w14:paraId="4EC0373D" w14:textId="26E7B4FC" w:rsidR="46278D3A" w:rsidRDefault="3F1C3C05" w:rsidP="1D1E68D0">
            <w:pPr>
              <w:rPr>
                <w:rFonts w:ascii="Calibri" w:eastAsia="Calibri" w:hAnsi="Calibri" w:cs="Times New Roman"/>
                <w:sz w:val="24"/>
                <w:szCs w:val="24"/>
              </w:rPr>
            </w:pPr>
            <w:r w:rsidRPr="775FEF4E">
              <w:rPr>
                <w:rFonts w:ascii="Calibri" w:eastAsia="Calibri" w:hAnsi="Calibri" w:cs="Times New Roman"/>
                <w:sz w:val="24"/>
                <w:szCs w:val="24"/>
              </w:rPr>
              <w:t>The Handbook summarizes basic requirements and best practices under Ontario’s health privacy law (PHIPA) in a way that</w:t>
            </w:r>
            <w:r w:rsidR="7533E52F" w:rsidRPr="775FEF4E">
              <w:rPr>
                <w:rFonts w:ascii="Calibri" w:eastAsia="Calibri" w:hAnsi="Calibri" w:cs="Times New Roman"/>
                <w:sz w:val="24"/>
                <w:szCs w:val="24"/>
              </w:rPr>
              <w:t xml:space="preserve"> is</w:t>
            </w:r>
            <w:r w:rsidRPr="775FEF4E">
              <w:rPr>
                <w:rFonts w:ascii="Calibri" w:eastAsia="Calibri" w:hAnsi="Calibri" w:cs="Times New Roman"/>
                <w:sz w:val="24"/>
                <w:szCs w:val="24"/>
              </w:rPr>
              <w:t xml:space="preserve"> easy to access and understand. </w:t>
            </w:r>
            <w:r w:rsidR="4A757116" w:rsidRPr="775FEF4E">
              <w:rPr>
                <w:rFonts w:ascii="Calibri" w:eastAsia="Calibri" w:hAnsi="Calibri" w:cs="Times New Roman"/>
                <w:sz w:val="24"/>
                <w:szCs w:val="24"/>
              </w:rPr>
              <w:t>Th</w:t>
            </w:r>
            <w:r w:rsidR="40D07D96" w:rsidRPr="775FEF4E">
              <w:rPr>
                <w:rFonts w:ascii="Calibri" w:eastAsia="Calibri" w:hAnsi="Calibri" w:cs="Times New Roman"/>
                <w:sz w:val="24"/>
                <w:szCs w:val="24"/>
              </w:rPr>
              <w:t>e</w:t>
            </w:r>
            <w:r w:rsidR="4A757116" w:rsidRPr="775FEF4E">
              <w:rPr>
                <w:rFonts w:ascii="Calibri" w:eastAsia="Calibri" w:hAnsi="Calibri" w:cs="Times New Roman"/>
                <w:sz w:val="24"/>
                <w:szCs w:val="24"/>
              </w:rPr>
              <w:t xml:space="preserve"> handbook </w:t>
            </w:r>
            <w:r w:rsidR="1EB6A4B0" w:rsidRPr="775FEF4E">
              <w:rPr>
                <w:rFonts w:ascii="Calibri" w:eastAsia="Calibri" w:hAnsi="Calibri" w:cs="Times New Roman"/>
                <w:sz w:val="24"/>
                <w:szCs w:val="24"/>
              </w:rPr>
              <w:t xml:space="preserve">is </w:t>
            </w:r>
            <w:r w:rsidR="363FE83E" w:rsidRPr="775FEF4E">
              <w:rPr>
                <w:rFonts w:ascii="Calibri" w:eastAsia="Calibri" w:hAnsi="Calibri" w:cs="Times New Roman"/>
                <w:sz w:val="24"/>
                <w:szCs w:val="24"/>
              </w:rPr>
              <w:t>filled with</w:t>
            </w:r>
            <w:r w:rsidR="1EB6A4B0" w:rsidRPr="775FEF4E">
              <w:rPr>
                <w:rFonts w:ascii="Calibri" w:eastAsia="Calibri" w:hAnsi="Calibri" w:cs="Times New Roman"/>
                <w:sz w:val="24"/>
                <w:szCs w:val="24"/>
              </w:rPr>
              <w:t xml:space="preserve"> practical tips and </w:t>
            </w:r>
            <w:r w:rsidR="0A619A0A" w:rsidRPr="775FEF4E">
              <w:rPr>
                <w:rFonts w:ascii="Calibri" w:eastAsia="Calibri" w:hAnsi="Calibri" w:cs="Times New Roman"/>
                <w:sz w:val="24"/>
                <w:szCs w:val="24"/>
              </w:rPr>
              <w:t xml:space="preserve">key takeaways, </w:t>
            </w:r>
            <w:r w:rsidR="0636B8D5" w:rsidRPr="775FEF4E">
              <w:rPr>
                <w:rFonts w:ascii="Calibri" w:eastAsia="Calibri" w:hAnsi="Calibri" w:cs="Times New Roman"/>
                <w:sz w:val="24"/>
                <w:szCs w:val="24"/>
              </w:rPr>
              <w:t xml:space="preserve">links to additional resources, and </w:t>
            </w:r>
            <w:r w:rsidR="1EB6A4B0" w:rsidRPr="775FEF4E">
              <w:rPr>
                <w:rFonts w:ascii="Calibri" w:eastAsia="Calibri" w:hAnsi="Calibri" w:cs="Times New Roman"/>
                <w:sz w:val="24"/>
                <w:szCs w:val="24"/>
              </w:rPr>
              <w:t xml:space="preserve">helpful </w:t>
            </w:r>
            <w:r w:rsidR="45EF7AB3" w:rsidRPr="775FEF4E">
              <w:rPr>
                <w:rFonts w:ascii="Calibri" w:eastAsia="Calibri" w:hAnsi="Calibri" w:cs="Times New Roman"/>
                <w:sz w:val="24"/>
                <w:szCs w:val="24"/>
              </w:rPr>
              <w:t xml:space="preserve">tools </w:t>
            </w:r>
            <w:r w:rsidR="110ED226" w:rsidRPr="775FEF4E">
              <w:rPr>
                <w:rFonts w:ascii="Calibri" w:eastAsia="Calibri" w:hAnsi="Calibri" w:cs="Times New Roman"/>
                <w:sz w:val="24"/>
                <w:szCs w:val="24"/>
              </w:rPr>
              <w:t xml:space="preserve">and templates </w:t>
            </w:r>
            <w:r w:rsidR="42947E98" w:rsidRPr="775FEF4E">
              <w:rPr>
                <w:rFonts w:ascii="Calibri" w:eastAsia="Calibri" w:hAnsi="Calibri" w:cs="Times New Roman"/>
                <w:sz w:val="24"/>
                <w:szCs w:val="24"/>
              </w:rPr>
              <w:t xml:space="preserve">that health providers can </w:t>
            </w:r>
            <w:r w:rsidR="63F5F31E" w:rsidRPr="775FEF4E">
              <w:rPr>
                <w:rFonts w:ascii="Calibri" w:eastAsia="Calibri" w:hAnsi="Calibri" w:cs="Times New Roman"/>
                <w:sz w:val="24"/>
                <w:szCs w:val="24"/>
              </w:rPr>
              <w:t xml:space="preserve">lift </w:t>
            </w:r>
            <w:r w:rsidR="42947E98" w:rsidRPr="775FEF4E">
              <w:rPr>
                <w:rFonts w:ascii="Calibri" w:eastAsia="Calibri" w:hAnsi="Calibri" w:cs="Times New Roman"/>
                <w:sz w:val="24"/>
                <w:szCs w:val="24"/>
              </w:rPr>
              <w:t>and adapt for their own purposes</w:t>
            </w:r>
            <w:r w:rsidR="47A5F539" w:rsidRPr="775FEF4E">
              <w:rPr>
                <w:rFonts w:ascii="Calibri" w:eastAsia="Calibri" w:hAnsi="Calibri" w:cs="Times New Roman"/>
                <w:sz w:val="24"/>
                <w:szCs w:val="24"/>
              </w:rPr>
              <w:t xml:space="preserve">. </w:t>
            </w:r>
            <w:r w:rsidR="123C5EAE" w:rsidRPr="775FEF4E">
              <w:rPr>
                <w:rFonts w:ascii="Calibri" w:eastAsia="Calibri" w:hAnsi="Calibri" w:cs="Times New Roman"/>
                <w:sz w:val="24"/>
                <w:szCs w:val="24"/>
              </w:rPr>
              <w:t xml:space="preserve"> </w:t>
            </w:r>
            <w:r w:rsidR="4A757116" w:rsidRPr="775FEF4E">
              <w:rPr>
                <w:rFonts w:ascii="Calibri" w:eastAsia="Calibri" w:hAnsi="Calibri" w:cs="Calibri"/>
                <w:sz w:val="24"/>
                <w:szCs w:val="24"/>
              </w:rPr>
              <w:t xml:space="preserve"> </w:t>
            </w:r>
          </w:p>
          <w:p w14:paraId="2110213E" w14:textId="052687C3" w:rsidR="1D1E68D0" w:rsidRDefault="1D1E68D0" w:rsidP="1D1E68D0">
            <w:pPr>
              <w:rPr>
                <w:rFonts w:ascii="Calibri" w:eastAsia="Calibri" w:hAnsi="Calibri" w:cs="Calibri"/>
                <w:sz w:val="24"/>
                <w:szCs w:val="24"/>
              </w:rPr>
            </w:pPr>
          </w:p>
          <w:p w14:paraId="16EE6A48" w14:textId="499A7B23" w:rsidR="3BA3948F" w:rsidRDefault="3BA3948F" w:rsidP="1D1E68D0">
            <w:pPr>
              <w:rPr>
                <w:rFonts w:ascii="Calibri" w:eastAsia="Calibri" w:hAnsi="Calibri" w:cs="Times New Roman"/>
                <w:sz w:val="24"/>
                <w:szCs w:val="24"/>
              </w:rPr>
            </w:pPr>
            <w:r w:rsidRPr="1D1E68D0">
              <w:rPr>
                <w:rFonts w:ascii="Calibri" w:eastAsia="Calibri" w:hAnsi="Calibri" w:cs="Calibri"/>
                <w:sz w:val="24"/>
                <w:szCs w:val="24"/>
              </w:rPr>
              <w:t>Specifically, t</w:t>
            </w:r>
            <w:r w:rsidR="3C4ADA34" w:rsidRPr="1D1E68D0">
              <w:rPr>
                <w:rFonts w:ascii="Calibri" w:eastAsia="Calibri" w:hAnsi="Calibri" w:cs="Calibri"/>
                <w:sz w:val="24"/>
                <w:szCs w:val="24"/>
              </w:rPr>
              <w:t xml:space="preserve">he handbook gives </w:t>
            </w:r>
            <w:r w:rsidR="0A8A2C34" w:rsidRPr="1D1E68D0">
              <w:rPr>
                <w:rFonts w:ascii="Calibri" w:eastAsia="Calibri" w:hAnsi="Calibri" w:cs="Calibri"/>
                <w:sz w:val="24"/>
                <w:szCs w:val="24"/>
              </w:rPr>
              <w:t xml:space="preserve">tips and tools for success, </w:t>
            </w:r>
            <w:r w:rsidR="4C858954" w:rsidRPr="1D1E68D0">
              <w:rPr>
                <w:rFonts w:ascii="Calibri" w:eastAsia="Calibri" w:hAnsi="Calibri" w:cs="Calibri"/>
                <w:sz w:val="24"/>
                <w:szCs w:val="24"/>
              </w:rPr>
              <w:t>including</w:t>
            </w:r>
            <w:r w:rsidR="0A8A2C34" w:rsidRPr="1D1E68D0">
              <w:rPr>
                <w:rFonts w:ascii="Calibri" w:eastAsia="Calibri" w:hAnsi="Calibri" w:cs="Calibri"/>
                <w:sz w:val="24"/>
                <w:szCs w:val="24"/>
              </w:rPr>
              <w:t xml:space="preserve">: </w:t>
            </w:r>
          </w:p>
          <w:p w14:paraId="66D1557C" w14:textId="5E51770F" w:rsidR="0A8A2C34" w:rsidRDefault="7B305812" w:rsidP="1D1E68D0">
            <w:pPr>
              <w:pStyle w:val="ListParagraph"/>
              <w:numPr>
                <w:ilvl w:val="0"/>
                <w:numId w:val="2"/>
              </w:numPr>
              <w:rPr>
                <w:rFonts w:ascii="Calibri" w:eastAsia="Calibri" w:hAnsi="Calibri" w:cs="Times New Roman"/>
              </w:rPr>
            </w:pPr>
            <w:r w:rsidRPr="15C4B828">
              <w:rPr>
                <w:rFonts w:ascii="Calibri" w:eastAsia="Calibri" w:hAnsi="Calibri" w:cs="Calibri"/>
                <w:sz w:val="24"/>
                <w:szCs w:val="24"/>
              </w:rPr>
              <w:t xml:space="preserve">information on what </w:t>
            </w:r>
            <w:r w:rsidR="6295A534" w:rsidRPr="15C4B828">
              <w:rPr>
                <w:rFonts w:ascii="Calibri" w:eastAsia="Calibri" w:hAnsi="Calibri" w:cs="Calibri"/>
                <w:sz w:val="24"/>
                <w:szCs w:val="24"/>
              </w:rPr>
              <w:t xml:space="preserve">one </w:t>
            </w:r>
            <w:r w:rsidRPr="15C4B828">
              <w:rPr>
                <w:rFonts w:ascii="Calibri" w:eastAsia="Calibri" w:hAnsi="Calibri" w:cs="Calibri"/>
                <w:sz w:val="24"/>
                <w:szCs w:val="24"/>
              </w:rPr>
              <w:t>need</w:t>
            </w:r>
            <w:r w:rsidR="4459E1F6" w:rsidRPr="15C4B828">
              <w:rPr>
                <w:rFonts w:ascii="Calibri" w:eastAsia="Calibri" w:hAnsi="Calibri" w:cs="Calibri"/>
                <w:sz w:val="24"/>
                <w:szCs w:val="24"/>
              </w:rPr>
              <w:t>s</w:t>
            </w:r>
            <w:r w:rsidRPr="15C4B828">
              <w:rPr>
                <w:rFonts w:ascii="Calibri" w:eastAsia="Calibri" w:hAnsi="Calibri" w:cs="Calibri"/>
                <w:sz w:val="24"/>
                <w:szCs w:val="24"/>
              </w:rPr>
              <w:t xml:space="preserve"> to do to meet </w:t>
            </w:r>
            <w:r w:rsidR="6F5A786A" w:rsidRPr="15C4B828">
              <w:rPr>
                <w:rFonts w:ascii="Calibri" w:eastAsia="Calibri" w:hAnsi="Calibri" w:cs="Calibri"/>
                <w:sz w:val="24"/>
                <w:szCs w:val="24"/>
              </w:rPr>
              <w:t xml:space="preserve">basic </w:t>
            </w:r>
            <w:r w:rsidRPr="15C4B828">
              <w:rPr>
                <w:rFonts w:ascii="Calibri" w:eastAsia="Calibri" w:hAnsi="Calibri" w:cs="Calibri"/>
                <w:sz w:val="24"/>
                <w:szCs w:val="24"/>
              </w:rPr>
              <w:t>PHIPA requirements</w:t>
            </w:r>
          </w:p>
          <w:p w14:paraId="579F9BC1" w14:textId="6F166AE4" w:rsidR="0A8A2C34" w:rsidRDefault="0A8A2C34" w:rsidP="15C4B828">
            <w:pPr>
              <w:pStyle w:val="ListParagraph"/>
              <w:numPr>
                <w:ilvl w:val="0"/>
                <w:numId w:val="2"/>
              </w:numPr>
              <w:rPr>
                <w:rFonts w:ascii="Calibri" w:eastAsia="Calibri" w:hAnsi="Calibri" w:cs="Calibri"/>
                <w:sz w:val="24"/>
                <w:szCs w:val="24"/>
              </w:rPr>
            </w:pPr>
            <w:r w:rsidRPr="15C4B828">
              <w:rPr>
                <w:rFonts w:ascii="Calibri" w:eastAsia="Calibri" w:hAnsi="Calibri" w:cs="Calibri"/>
                <w:sz w:val="24"/>
                <w:szCs w:val="24"/>
              </w:rPr>
              <w:t xml:space="preserve">tips and guidance to help you build a privacy management program that’s right-sized for </w:t>
            </w:r>
            <w:r w:rsidR="2A442B6A" w:rsidRPr="15C4B828">
              <w:rPr>
                <w:rFonts w:ascii="Calibri" w:eastAsia="Calibri" w:hAnsi="Calibri" w:cs="Calibri"/>
                <w:sz w:val="24"/>
                <w:szCs w:val="24"/>
              </w:rPr>
              <w:t xml:space="preserve">any individual </w:t>
            </w:r>
            <w:r w:rsidRPr="15C4B828">
              <w:rPr>
                <w:rFonts w:ascii="Calibri" w:eastAsia="Calibri" w:hAnsi="Calibri" w:cs="Calibri"/>
                <w:sz w:val="24"/>
                <w:szCs w:val="24"/>
              </w:rPr>
              <w:t>practice</w:t>
            </w:r>
          </w:p>
          <w:p w14:paraId="03DAEDF0" w14:textId="77F8C69C" w:rsidR="0A8A2C34" w:rsidRDefault="0A8A2C34" w:rsidP="1D1E68D0">
            <w:pPr>
              <w:pStyle w:val="ListParagraph"/>
              <w:numPr>
                <w:ilvl w:val="0"/>
                <w:numId w:val="2"/>
              </w:numPr>
              <w:rPr>
                <w:rFonts w:ascii="Calibri" w:eastAsia="Calibri" w:hAnsi="Calibri" w:cs="Times New Roman"/>
              </w:rPr>
            </w:pPr>
            <w:r w:rsidRPr="1D1E68D0">
              <w:rPr>
                <w:rFonts w:ascii="Calibri" w:eastAsia="Calibri" w:hAnsi="Calibri" w:cs="Calibri"/>
                <w:sz w:val="24"/>
                <w:szCs w:val="24"/>
              </w:rPr>
              <w:t xml:space="preserve">additional resources that may be useful </w:t>
            </w:r>
            <w:r w:rsidR="52D73C21" w:rsidRPr="1D1E68D0">
              <w:rPr>
                <w:rFonts w:ascii="Calibri" w:eastAsia="Calibri" w:hAnsi="Calibri" w:cs="Calibri"/>
                <w:sz w:val="24"/>
                <w:szCs w:val="24"/>
              </w:rPr>
              <w:t xml:space="preserve">for those who want more </w:t>
            </w:r>
            <w:r w:rsidRPr="1D1E68D0">
              <w:rPr>
                <w:rFonts w:ascii="Calibri" w:eastAsia="Calibri" w:hAnsi="Calibri" w:cs="Calibri"/>
                <w:sz w:val="24"/>
                <w:szCs w:val="24"/>
              </w:rPr>
              <w:t xml:space="preserve">detail </w:t>
            </w:r>
          </w:p>
          <w:p w14:paraId="49011A17" w14:textId="12453769" w:rsidR="1D1E68D0" w:rsidRDefault="1D1E68D0" w:rsidP="1D1E68D0">
            <w:pPr>
              <w:pStyle w:val="ListParagraph"/>
              <w:ind w:left="0"/>
              <w:rPr>
                <w:rFonts w:ascii="Calibri" w:eastAsia="Calibri" w:hAnsi="Calibri" w:cs="Calibri"/>
                <w:sz w:val="24"/>
                <w:szCs w:val="24"/>
              </w:rPr>
            </w:pPr>
          </w:p>
          <w:p w14:paraId="0AD0CCEE" w14:textId="0BC98C91" w:rsidR="4A086096" w:rsidRDefault="2339CCCE" w:rsidP="1D1E68D0">
            <w:pPr>
              <w:pStyle w:val="ListParagraph"/>
              <w:ind w:left="0"/>
              <w:rPr>
                <w:rFonts w:ascii="Calibri" w:eastAsia="Calibri" w:hAnsi="Calibri" w:cs="Times New Roman"/>
                <w:sz w:val="24"/>
                <w:szCs w:val="24"/>
              </w:rPr>
            </w:pPr>
            <w:r w:rsidRPr="775FEF4E">
              <w:rPr>
                <w:rFonts w:ascii="Calibri" w:eastAsia="Calibri" w:hAnsi="Calibri" w:cs="Calibri"/>
                <w:sz w:val="24"/>
                <w:szCs w:val="24"/>
              </w:rPr>
              <w:t>This handbook is designed primarily for:</w:t>
            </w:r>
          </w:p>
          <w:p w14:paraId="50910446" w14:textId="5B254AB9" w:rsidR="4A086096" w:rsidRDefault="2339CCCE" w:rsidP="1D1E68D0">
            <w:pPr>
              <w:pStyle w:val="ListParagraph"/>
              <w:numPr>
                <w:ilvl w:val="0"/>
                <w:numId w:val="1"/>
              </w:numPr>
              <w:rPr>
                <w:rFonts w:ascii="Calibri" w:eastAsia="Calibri" w:hAnsi="Calibri" w:cs="Calibri"/>
                <w:sz w:val="24"/>
                <w:szCs w:val="24"/>
              </w:rPr>
            </w:pPr>
            <w:r w:rsidRPr="775FEF4E">
              <w:rPr>
                <w:rFonts w:ascii="Calibri" w:eastAsia="Calibri" w:hAnsi="Calibri" w:cs="Calibri"/>
                <w:sz w:val="24"/>
                <w:szCs w:val="24"/>
              </w:rPr>
              <w:t xml:space="preserve">sole </w:t>
            </w:r>
            <w:r w:rsidR="652913E2" w:rsidRPr="775FEF4E">
              <w:rPr>
                <w:rFonts w:ascii="Calibri" w:eastAsia="Calibri" w:hAnsi="Calibri" w:cs="Calibri"/>
                <w:sz w:val="24"/>
                <w:szCs w:val="24"/>
              </w:rPr>
              <w:t xml:space="preserve">health </w:t>
            </w:r>
            <w:r w:rsidRPr="775FEF4E">
              <w:rPr>
                <w:rFonts w:ascii="Calibri" w:eastAsia="Calibri" w:hAnsi="Calibri" w:cs="Calibri"/>
                <w:sz w:val="24"/>
                <w:szCs w:val="24"/>
              </w:rPr>
              <w:t>practitioners who independently own and operate their own health care practice</w:t>
            </w:r>
          </w:p>
          <w:p w14:paraId="7D954B27" w14:textId="1D1BF959" w:rsidR="4A086096" w:rsidRDefault="4A086096" w:rsidP="1D1E68D0">
            <w:pPr>
              <w:pStyle w:val="ListParagraph"/>
              <w:numPr>
                <w:ilvl w:val="0"/>
                <w:numId w:val="1"/>
              </w:numPr>
              <w:rPr>
                <w:rFonts w:ascii="Calibri" w:eastAsia="Calibri" w:hAnsi="Calibri" w:cs="Calibri"/>
                <w:sz w:val="24"/>
                <w:szCs w:val="24"/>
              </w:rPr>
            </w:pPr>
            <w:r w:rsidRPr="1D1E68D0">
              <w:rPr>
                <w:rFonts w:ascii="Calibri" w:eastAsia="Calibri" w:hAnsi="Calibri" w:cs="Calibri"/>
                <w:sz w:val="24"/>
                <w:szCs w:val="24"/>
              </w:rPr>
              <w:t xml:space="preserve">small group clinics that provide similar or interdisciplinary health care services </w:t>
            </w:r>
          </w:p>
          <w:p w14:paraId="60C13743" w14:textId="4CA664CA" w:rsidR="4A086096" w:rsidRDefault="4A086096" w:rsidP="1D1E68D0">
            <w:pPr>
              <w:pStyle w:val="ListParagraph"/>
              <w:numPr>
                <w:ilvl w:val="0"/>
                <w:numId w:val="1"/>
              </w:numPr>
              <w:rPr>
                <w:rFonts w:ascii="Calibri" w:eastAsia="Calibri" w:hAnsi="Calibri" w:cs="Times New Roman"/>
                <w:sz w:val="24"/>
                <w:szCs w:val="24"/>
              </w:rPr>
            </w:pPr>
            <w:r w:rsidRPr="1D1E68D0">
              <w:rPr>
                <w:rFonts w:ascii="Calibri" w:eastAsia="Calibri" w:hAnsi="Calibri" w:cs="Calibri"/>
                <w:sz w:val="24"/>
                <w:szCs w:val="24"/>
              </w:rPr>
              <w:t>operators of small health care facilities</w:t>
            </w:r>
          </w:p>
          <w:p w14:paraId="633A73A8" w14:textId="083D2D60" w:rsidR="1D1E68D0" w:rsidRDefault="1D1E68D0" w:rsidP="1D1E68D0">
            <w:pPr>
              <w:pStyle w:val="ListParagraph"/>
              <w:ind w:left="0"/>
              <w:rPr>
                <w:rFonts w:ascii="Calibri" w:eastAsia="Calibri" w:hAnsi="Calibri" w:cs="Calibri"/>
                <w:sz w:val="24"/>
                <w:szCs w:val="24"/>
              </w:rPr>
            </w:pPr>
          </w:p>
          <w:p w14:paraId="168CC31A" w14:textId="0C5A35E0" w:rsidR="667DBE97" w:rsidRDefault="667DBE97" w:rsidP="775FEF4E">
            <w:pPr>
              <w:pStyle w:val="ListParagraph"/>
              <w:ind w:left="0"/>
              <w:rPr>
                <w:rFonts w:ascii="Calibri" w:eastAsia="Calibri" w:hAnsi="Calibri" w:cs="Calibri"/>
                <w:sz w:val="24"/>
                <w:szCs w:val="24"/>
              </w:rPr>
            </w:pPr>
            <w:r w:rsidRPr="775FEF4E">
              <w:rPr>
                <w:rFonts w:ascii="Calibri" w:eastAsia="Calibri" w:hAnsi="Calibri" w:cs="Calibri"/>
                <w:sz w:val="24"/>
                <w:szCs w:val="24"/>
              </w:rPr>
              <w:t xml:space="preserve">The handbook responds to a long-expressed need of these small health providers to have access to more practical, operational guidance that they can feasibly implement </w:t>
            </w:r>
            <w:r w:rsidR="077E87CC" w:rsidRPr="775FEF4E">
              <w:rPr>
                <w:rFonts w:ascii="Calibri" w:eastAsia="Calibri" w:hAnsi="Calibri" w:cs="Calibri"/>
                <w:sz w:val="24"/>
                <w:szCs w:val="24"/>
              </w:rPr>
              <w:t xml:space="preserve">given their small size and </w:t>
            </w:r>
            <w:r w:rsidR="7AA4D37B" w:rsidRPr="775FEF4E">
              <w:rPr>
                <w:rFonts w:ascii="Calibri" w:eastAsia="Calibri" w:hAnsi="Calibri" w:cs="Calibri"/>
                <w:sz w:val="24"/>
                <w:szCs w:val="24"/>
              </w:rPr>
              <w:t xml:space="preserve">real </w:t>
            </w:r>
            <w:r w:rsidRPr="775FEF4E">
              <w:rPr>
                <w:rFonts w:ascii="Calibri" w:eastAsia="Calibri" w:hAnsi="Calibri" w:cs="Calibri"/>
                <w:sz w:val="24"/>
                <w:szCs w:val="24"/>
              </w:rPr>
              <w:t xml:space="preserve">budgetary constraints. </w:t>
            </w:r>
            <w:r w:rsidR="39F67160" w:rsidRPr="775FEF4E">
              <w:rPr>
                <w:rFonts w:ascii="Calibri" w:eastAsia="Calibri" w:hAnsi="Calibri" w:cs="Calibri"/>
                <w:sz w:val="24"/>
                <w:szCs w:val="24"/>
              </w:rPr>
              <w:t xml:space="preserve"> </w:t>
            </w:r>
          </w:p>
          <w:p w14:paraId="589A77E2" w14:textId="60101BDC" w:rsidR="775FEF4E" w:rsidRDefault="775FEF4E" w:rsidP="775FEF4E">
            <w:pPr>
              <w:pStyle w:val="ListParagraph"/>
              <w:ind w:left="0"/>
              <w:rPr>
                <w:rFonts w:ascii="Calibri" w:eastAsia="Calibri" w:hAnsi="Calibri" w:cs="Calibri"/>
                <w:sz w:val="24"/>
                <w:szCs w:val="24"/>
              </w:rPr>
            </w:pPr>
          </w:p>
          <w:p w14:paraId="29E7C3C6" w14:textId="04CF0DCE" w:rsidR="667DBE97" w:rsidRDefault="667DBE97" w:rsidP="775FEF4E">
            <w:pPr>
              <w:pStyle w:val="ListParagraph"/>
              <w:ind w:left="0"/>
              <w:rPr>
                <w:rFonts w:ascii="Calibri" w:eastAsia="Calibri" w:hAnsi="Calibri" w:cs="Calibri"/>
                <w:sz w:val="24"/>
                <w:szCs w:val="24"/>
              </w:rPr>
            </w:pPr>
            <w:r w:rsidRPr="15C4B828">
              <w:rPr>
                <w:rFonts w:ascii="Calibri" w:eastAsia="Calibri" w:hAnsi="Calibri" w:cs="Calibri"/>
                <w:sz w:val="24"/>
                <w:szCs w:val="24"/>
              </w:rPr>
              <w:t>In short, the IPC created reader-friendly content for the busy health practitioner who</w:t>
            </w:r>
            <w:r w:rsidR="5341E546" w:rsidRPr="15C4B828">
              <w:rPr>
                <w:rFonts w:ascii="Calibri" w:eastAsia="Calibri" w:hAnsi="Calibri" w:cs="Calibri"/>
                <w:sz w:val="24"/>
                <w:szCs w:val="24"/>
              </w:rPr>
              <w:t xml:space="preserve"> is not a </w:t>
            </w:r>
            <w:r w:rsidRPr="15C4B828">
              <w:rPr>
                <w:rFonts w:ascii="Calibri" w:eastAsia="Calibri" w:hAnsi="Calibri" w:cs="Calibri"/>
                <w:sz w:val="24"/>
                <w:szCs w:val="24"/>
              </w:rPr>
              <w:t>privacy specialist and needs ready access to highly practical information th</w:t>
            </w:r>
            <w:r w:rsidR="41A08680" w:rsidRPr="15C4B828">
              <w:rPr>
                <w:rFonts w:ascii="Calibri" w:eastAsia="Calibri" w:hAnsi="Calibri" w:cs="Calibri"/>
                <w:sz w:val="24"/>
                <w:szCs w:val="24"/>
              </w:rPr>
              <w:t xml:space="preserve">at </w:t>
            </w:r>
            <w:r w:rsidRPr="15C4B828">
              <w:rPr>
                <w:rFonts w:ascii="Calibri" w:eastAsia="Calibri" w:hAnsi="Calibri" w:cs="Calibri"/>
                <w:sz w:val="24"/>
                <w:szCs w:val="24"/>
              </w:rPr>
              <w:t>can</w:t>
            </w:r>
            <w:r w:rsidR="098125E3" w:rsidRPr="15C4B828">
              <w:rPr>
                <w:rFonts w:ascii="Calibri" w:eastAsia="Calibri" w:hAnsi="Calibri" w:cs="Calibri"/>
                <w:sz w:val="24"/>
                <w:szCs w:val="24"/>
              </w:rPr>
              <w:t xml:space="preserve"> be</w:t>
            </w:r>
            <w:r w:rsidRPr="15C4B828">
              <w:rPr>
                <w:rFonts w:ascii="Calibri" w:eastAsia="Calibri" w:hAnsi="Calibri" w:cs="Calibri"/>
                <w:sz w:val="24"/>
                <w:szCs w:val="24"/>
              </w:rPr>
              <w:t xml:space="preserve"> underst</w:t>
            </w:r>
            <w:r w:rsidR="518131CF" w:rsidRPr="15C4B828">
              <w:rPr>
                <w:rFonts w:ascii="Calibri" w:eastAsia="Calibri" w:hAnsi="Calibri" w:cs="Calibri"/>
                <w:sz w:val="24"/>
                <w:szCs w:val="24"/>
              </w:rPr>
              <w:t>oo</w:t>
            </w:r>
            <w:r w:rsidRPr="15C4B828">
              <w:rPr>
                <w:rFonts w:ascii="Calibri" w:eastAsia="Calibri" w:hAnsi="Calibri" w:cs="Calibri"/>
                <w:sz w:val="24"/>
                <w:szCs w:val="24"/>
              </w:rPr>
              <w:t>d, feasibly implement</w:t>
            </w:r>
            <w:r w:rsidR="6B102A3F" w:rsidRPr="15C4B828">
              <w:rPr>
                <w:rFonts w:ascii="Calibri" w:eastAsia="Calibri" w:hAnsi="Calibri" w:cs="Calibri"/>
                <w:sz w:val="24"/>
                <w:szCs w:val="24"/>
              </w:rPr>
              <w:t>ed</w:t>
            </w:r>
            <w:r w:rsidRPr="15C4B828">
              <w:rPr>
                <w:rFonts w:ascii="Calibri" w:eastAsia="Calibri" w:hAnsi="Calibri" w:cs="Calibri"/>
                <w:sz w:val="24"/>
                <w:szCs w:val="24"/>
              </w:rPr>
              <w:t xml:space="preserve"> and continually improve</w:t>
            </w:r>
            <w:r w:rsidR="3475CA6E" w:rsidRPr="15C4B828">
              <w:rPr>
                <w:rFonts w:ascii="Calibri" w:eastAsia="Calibri" w:hAnsi="Calibri" w:cs="Calibri"/>
                <w:sz w:val="24"/>
                <w:szCs w:val="24"/>
              </w:rPr>
              <w:t>d</w:t>
            </w:r>
            <w:r w:rsidRPr="15C4B828">
              <w:rPr>
                <w:rFonts w:ascii="Calibri" w:eastAsia="Calibri" w:hAnsi="Calibri" w:cs="Calibri"/>
                <w:sz w:val="24"/>
                <w:szCs w:val="24"/>
              </w:rPr>
              <w:t xml:space="preserve"> upon over time.  </w:t>
            </w:r>
          </w:p>
          <w:p w14:paraId="34061EC1" w14:textId="0529562B" w:rsidR="775FEF4E" w:rsidRDefault="775FEF4E" w:rsidP="775FEF4E">
            <w:pPr>
              <w:pStyle w:val="ListParagraph"/>
              <w:ind w:left="0"/>
              <w:rPr>
                <w:rFonts w:ascii="Calibri" w:eastAsia="Calibri" w:hAnsi="Calibri" w:cs="Calibri"/>
                <w:sz w:val="24"/>
                <w:szCs w:val="24"/>
              </w:rPr>
            </w:pPr>
          </w:p>
          <w:p w14:paraId="18DF7004" w14:textId="27F7964A" w:rsidR="3F240C68" w:rsidRDefault="3F240C68" w:rsidP="775FEF4E">
            <w:pPr>
              <w:pStyle w:val="ListParagraph"/>
              <w:ind w:left="0"/>
              <w:rPr>
                <w:rFonts w:ascii="Calibri" w:eastAsia="Calibri" w:hAnsi="Calibri" w:cs="Calibri"/>
                <w:sz w:val="24"/>
                <w:szCs w:val="24"/>
              </w:rPr>
            </w:pPr>
            <w:r w:rsidRPr="775FEF4E">
              <w:rPr>
                <w:rFonts w:ascii="Calibri" w:eastAsia="Calibri" w:hAnsi="Calibri" w:cs="Calibri"/>
                <w:sz w:val="24"/>
                <w:szCs w:val="24"/>
              </w:rPr>
              <w:lastRenderedPageBreak/>
              <w:t xml:space="preserve">Throughout the handbook we use plain, easy-to-understand language to keep the information simple and straightforward.  This is uniquely distinct from other existing PHIPA-related guidance </w:t>
            </w:r>
            <w:r w:rsidR="362D585E" w:rsidRPr="775FEF4E">
              <w:rPr>
                <w:rFonts w:ascii="Calibri" w:eastAsia="Calibri" w:hAnsi="Calibri" w:cs="Calibri"/>
                <w:sz w:val="24"/>
                <w:szCs w:val="24"/>
              </w:rPr>
              <w:t xml:space="preserve">that has traditionally been </w:t>
            </w:r>
            <w:r w:rsidRPr="775FEF4E">
              <w:rPr>
                <w:rFonts w:ascii="Calibri" w:eastAsia="Calibri" w:hAnsi="Calibri" w:cs="Calibri"/>
                <w:sz w:val="24"/>
                <w:szCs w:val="24"/>
              </w:rPr>
              <w:t>aimed at larger health institutions, including large hospitals and sophisticated health research institutions.</w:t>
            </w:r>
          </w:p>
          <w:p w14:paraId="10282A6C" w14:textId="36954190" w:rsidR="00DD6623" w:rsidRPr="00DD6623" w:rsidRDefault="00DD6623" w:rsidP="00DD6623">
            <w:pPr>
              <w:rPr>
                <w:rFonts w:ascii="Calibri" w:eastAsia="Calibri" w:hAnsi="Calibri" w:cs="Times New Roman"/>
                <w:sz w:val="24"/>
                <w:szCs w:val="24"/>
              </w:rPr>
            </w:pPr>
          </w:p>
        </w:tc>
      </w:tr>
      <w:tr w:rsidR="00DD6623" w:rsidRPr="00DD6623" w14:paraId="1427A568" w14:textId="77777777" w:rsidTr="775FEF4E">
        <w:tc>
          <w:tcPr>
            <w:tcW w:w="9016" w:type="dxa"/>
            <w:tcBorders>
              <w:top w:val="nil"/>
              <w:left w:val="nil"/>
              <w:right w:val="nil"/>
            </w:tcBorders>
          </w:tcPr>
          <w:p w14:paraId="033BCDF3" w14:textId="0161FD71" w:rsidR="00DD6623" w:rsidRPr="00DD6623" w:rsidRDefault="00DD6623" w:rsidP="775FEF4E">
            <w:pPr>
              <w:numPr>
                <w:ilvl w:val="0"/>
                <w:numId w:val="6"/>
              </w:numPr>
              <w:contextualSpacing/>
              <w:rPr>
                <w:rFonts w:ascii="Calibri" w:eastAsia="Calibri" w:hAnsi="Calibri" w:cs="Times New Roman"/>
                <w:b/>
                <w:bCs/>
                <w:i/>
                <w:iCs/>
                <w:sz w:val="24"/>
                <w:szCs w:val="24"/>
              </w:rPr>
            </w:pPr>
            <w:r w:rsidRPr="775FEF4E">
              <w:rPr>
                <w:rFonts w:ascii="Calibri" w:eastAsia="Calibri" w:hAnsi="Calibri" w:cs="Times New Roman"/>
                <w:b/>
                <w:bCs/>
                <w:sz w:val="24"/>
                <w:szCs w:val="24"/>
              </w:rPr>
              <w:lastRenderedPageBreak/>
              <w:t>Please explain why you think the initiative deserves to be recognised by an award</w:t>
            </w:r>
            <w:r w:rsidRPr="775FEF4E">
              <w:rPr>
                <w:rFonts w:ascii="Calibri" w:eastAsia="Calibri" w:hAnsi="Calibri" w:cs="Times New Roman"/>
                <w:b/>
                <w:bCs/>
                <w:i/>
                <w:iCs/>
                <w:sz w:val="24"/>
                <w:szCs w:val="24"/>
              </w:rPr>
              <w:t xml:space="preserve"> </w:t>
            </w:r>
            <w:r w:rsidRPr="775FEF4E">
              <w:rPr>
                <w:rFonts w:ascii="Calibri" w:eastAsia="Calibri" w:hAnsi="Calibri" w:cs="Times New Roman"/>
                <w:i/>
                <w:iCs/>
                <w:sz w:val="24"/>
                <w:szCs w:val="24"/>
              </w:rPr>
              <w:t>(no more than 200 words)</w:t>
            </w:r>
          </w:p>
          <w:p w14:paraId="2192B49D" w14:textId="3A62CA45" w:rsidR="00DD6623" w:rsidRPr="00DD6623" w:rsidRDefault="00DD6623" w:rsidP="775FEF4E">
            <w:pPr>
              <w:ind w:left="360"/>
              <w:contextualSpacing/>
              <w:rPr>
                <w:rFonts w:ascii="Calibri" w:eastAsia="Calibri" w:hAnsi="Calibri" w:cs="Times New Roman"/>
                <w:b/>
                <w:bCs/>
                <w:i/>
                <w:iCs/>
                <w:sz w:val="24"/>
                <w:szCs w:val="24"/>
              </w:rPr>
            </w:pPr>
          </w:p>
        </w:tc>
      </w:tr>
      <w:tr w:rsidR="00DD6623" w:rsidRPr="00DD6623" w14:paraId="233BF3AD" w14:textId="77777777" w:rsidTr="775FEF4E">
        <w:tc>
          <w:tcPr>
            <w:tcW w:w="9016" w:type="dxa"/>
            <w:tcBorders>
              <w:left w:val="single" w:sz="4" w:space="0" w:color="auto"/>
              <w:right w:val="single" w:sz="4" w:space="0" w:color="auto"/>
            </w:tcBorders>
          </w:tcPr>
          <w:p w14:paraId="24BD93AD" w14:textId="07E7645E" w:rsidR="25A540BF" w:rsidRDefault="25A540BF" w:rsidP="775FEF4E">
            <w:pPr>
              <w:pStyle w:val="ListParagraph"/>
              <w:ind w:left="0"/>
              <w:rPr>
                <w:rFonts w:ascii="Calibri" w:eastAsia="Calibri" w:hAnsi="Calibri" w:cs="Calibri"/>
                <w:sz w:val="24"/>
                <w:szCs w:val="24"/>
              </w:rPr>
            </w:pPr>
            <w:r w:rsidRPr="775FEF4E">
              <w:rPr>
                <w:rFonts w:ascii="Calibri" w:eastAsia="Calibri" w:hAnsi="Calibri" w:cs="Calibri"/>
                <w:sz w:val="24"/>
                <w:szCs w:val="24"/>
              </w:rPr>
              <w:t xml:space="preserve">Ultimately, building good privacy management practices that demonstrate both compliance with PHIPA and </w:t>
            </w:r>
            <w:r w:rsidR="7F337F86" w:rsidRPr="775FEF4E">
              <w:rPr>
                <w:rFonts w:ascii="Calibri" w:eastAsia="Calibri" w:hAnsi="Calibri" w:cs="Calibri"/>
                <w:sz w:val="24"/>
                <w:szCs w:val="24"/>
              </w:rPr>
              <w:t>responsive care</w:t>
            </w:r>
            <w:r w:rsidRPr="775FEF4E">
              <w:rPr>
                <w:rFonts w:ascii="Calibri" w:eastAsia="Calibri" w:hAnsi="Calibri" w:cs="Calibri"/>
                <w:sz w:val="24"/>
                <w:szCs w:val="24"/>
              </w:rPr>
              <w:t xml:space="preserve"> for patients is essential for </w:t>
            </w:r>
            <w:r w:rsidR="69C84259" w:rsidRPr="775FEF4E">
              <w:rPr>
                <w:rFonts w:ascii="Calibri" w:eastAsia="Calibri" w:hAnsi="Calibri" w:cs="Calibri"/>
                <w:sz w:val="24"/>
                <w:szCs w:val="24"/>
              </w:rPr>
              <w:t xml:space="preserve">maintaining public trust in the health system. </w:t>
            </w:r>
            <w:r w:rsidRPr="775FEF4E">
              <w:rPr>
                <w:rFonts w:ascii="Calibri" w:eastAsia="Calibri" w:hAnsi="Calibri" w:cs="Calibri"/>
                <w:sz w:val="24"/>
                <w:szCs w:val="24"/>
              </w:rPr>
              <w:t xml:space="preserve"> </w:t>
            </w:r>
          </w:p>
          <w:p w14:paraId="4275471C" w14:textId="3A65293F" w:rsidR="775FEF4E" w:rsidRDefault="775FEF4E" w:rsidP="775FEF4E">
            <w:pPr>
              <w:pStyle w:val="ListParagraph"/>
              <w:ind w:left="0"/>
              <w:rPr>
                <w:rFonts w:ascii="Calibri" w:eastAsia="Calibri" w:hAnsi="Calibri" w:cs="Calibri"/>
                <w:sz w:val="24"/>
                <w:szCs w:val="24"/>
              </w:rPr>
            </w:pPr>
          </w:p>
          <w:p w14:paraId="56B6D3EA" w14:textId="47BD3306" w:rsidR="2E21489A" w:rsidRDefault="2E21489A" w:rsidP="775FEF4E">
            <w:pPr>
              <w:pStyle w:val="ListParagraph"/>
              <w:ind w:left="0"/>
              <w:rPr>
                <w:rFonts w:ascii="Calibri" w:eastAsia="Calibri" w:hAnsi="Calibri" w:cs="Calibri"/>
                <w:sz w:val="24"/>
                <w:szCs w:val="24"/>
              </w:rPr>
            </w:pPr>
            <w:r w:rsidRPr="775FEF4E">
              <w:rPr>
                <w:rFonts w:ascii="Calibri" w:eastAsia="Calibri" w:hAnsi="Calibri" w:cs="Calibri"/>
                <w:sz w:val="24"/>
                <w:szCs w:val="24"/>
              </w:rPr>
              <w:t xml:space="preserve">As a modern regulator that aims to have </w:t>
            </w:r>
            <w:r w:rsidRPr="775FEF4E">
              <w:rPr>
                <w:rFonts w:ascii="Calibri" w:eastAsia="Calibri" w:hAnsi="Calibri" w:cs="Calibri"/>
                <w:i/>
                <w:iCs/>
                <w:sz w:val="24"/>
                <w:szCs w:val="24"/>
              </w:rPr>
              <w:t>real-world impact</w:t>
            </w:r>
            <w:r w:rsidRPr="775FEF4E">
              <w:rPr>
                <w:rFonts w:ascii="Calibri" w:eastAsia="Calibri" w:hAnsi="Calibri" w:cs="Calibri"/>
                <w:sz w:val="24"/>
                <w:szCs w:val="24"/>
              </w:rPr>
              <w:t>, we recognize that it</w:t>
            </w:r>
            <w:r w:rsidR="25A540BF" w:rsidRPr="775FEF4E">
              <w:rPr>
                <w:rFonts w:ascii="Calibri" w:eastAsia="Calibri" w:hAnsi="Calibri" w:cs="Calibri"/>
                <w:sz w:val="24"/>
                <w:szCs w:val="24"/>
              </w:rPr>
              <w:t xml:space="preserve"> may not always be possible to ramp up to a highly-sophisticated privacy and accountability management framework from one day to the next. </w:t>
            </w:r>
            <w:r w:rsidR="7E33A81B" w:rsidRPr="775FEF4E">
              <w:rPr>
                <w:rFonts w:ascii="Calibri" w:eastAsia="Calibri" w:hAnsi="Calibri" w:cs="Calibri"/>
                <w:sz w:val="24"/>
                <w:szCs w:val="24"/>
              </w:rPr>
              <w:t xml:space="preserve"> </w:t>
            </w:r>
            <w:r w:rsidR="38BB084C" w:rsidRPr="775FEF4E">
              <w:rPr>
                <w:rFonts w:ascii="Calibri" w:eastAsia="Calibri" w:hAnsi="Calibri" w:cs="Calibri"/>
                <w:sz w:val="24"/>
                <w:szCs w:val="24"/>
              </w:rPr>
              <w:t xml:space="preserve">This is why we created </w:t>
            </w:r>
            <w:r w:rsidR="7E33A81B" w:rsidRPr="775FEF4E">
              <w:rPr>
                <w:rFonts w:ascii="Calibri" w:eastAsia="Calibri" w:hAnsi="Calibri" w:cs="Calibri"/>
                <w:sz w:val="24"/>
                <w:szCs w:val="24"/>
              </w:rPr>
              <w:t>th</w:t>
            </w:r>
            <w:r w:rsidR="4524824F" w:rsidRPr="775FEF4E">
              <w:rPr>
                <w:rFonts w:ascii="Calibri" w:eastAsia="Calibri" w:hAnsi="Calibri" w:cs="Calibri"/>
                <w:sz w:val="24"/>
                <w:szCs w:val="24"/>
              </w:rPr>
              <w:t>is</w:t>
            </w:r>
            <w:r w:rsidR="7E33A81B" w:rsidRPr="775FEF4E">
              <w:rPr>
                <w:rFonts w:ascii="Calibri" w:eastAsia="Calibri" w:hAnsi="Calibri" w:cs="Calibri"/>
                <w:sz w:val="24"/>
                <w:szCs w:val="24"/>
              </w:rPr>
              <w:t xml:space="preserve"> </w:t>
            </w:r>
            <w:r w:rsidR="531DF5FA" w:rsidRPr="775FEF4E">
              <w:rPr>
                <w:rFonts w:ascii="Calibri" w:eastAsia="Calibri" w:hAnsi="Calibri" w:cs="Calibri"/>
                <w:sz w:val="24"/>
                <w:szCs w:val="24"/>
              </w:rPr>
              <w:t xml:space="preserve">practical </w:t>
            </w:r>
            <w:r w:rsidR="7E33A81B" w:rsidRPr="775FEF4E">
              <w:rPr>
                <w:rFonts w:ascii="Calibri" w:eastAsia="Calibri" w:hAnsi="Calibri" w:cs="Calibri"/>
                <w:sz w:val="24"/>
                <w:szCs w:val="24"/>
              </w:rPr>
              <w:t>IPC</w:t>
            </w:r>
            <w:r w:rsidR="423BA01B" w:rsidRPr="775FEF4E">
              <w:rPr>
                <w:rFonts w:ascii="Calibri" w:eastAsia="Calibri" w:hAnsi="Calibri" w:cs="Calibri"/>
                <w:sz w:val="24"/>
                <w:szCs w:val="24"/>
              </w:rPr>
              <w:t xml:space="preserve"> </w:t>
            </w:r>
            <w:r w:rsidR="25A540BF" w:rsidRPr="775FEF4E">
              <w:rPr>
                <w:rFonts w:ascii="Calibri" w:eastAsia="Calibri" w:hAnsi="Calibri" w:cs="Calibri"/>
                <w:sz w:val="24"/>
                <w:szCs w:val="24"/>
              </w:rPr>
              <w:t xml:space="preserve">handbook to </w:t>
            </w:r>
            <w:r w:rsidR="504C5AD6" w:rsidRPr="775FEF4E">
              <w:rPr>
                <w:rFonts w:ascii="Calibri" w:eastAsia="Calibri" w:hAnsi="Calibri" w:cs="Calibri"/>
                <w:sz w:val="24"/>
                <w:szCs w:val="24"/>
              </w:rPr>
              <w:t xml:space="preserve">support </w:t>
            </w:r>
            <w:r w:rsidR="25A540BF" w:rsidRPr="775FEF4E">
              <w:rPr>
                <w:rFonts w:ascii="Calibri" w:eastAsia="Calibri" w:hAnsi="Calibri" w:cs="Calibri"/>
                <w:sz w:val="24"/>
                <w:szCs w:val="24"/>
              </w:rPr>
              <w:t xml:space="preserve">smaller health providers by providing them with a </w:t>
            </w:r>
            <w:r w:rsidR="297370FA" w:rsidRPr="775FEF4E">
              <w:rPr>
                <w:rFonts w:ascii="Calibri" w:eastAsia="Calibri" w:hAnsi="Calibri" w:cs="Calibri"/>
                <w:sz w:val="24"/>
                <w:szCs w:val="24"/>
              </w:rPr>
              <w:t xml:space="preserve">solid </w:t>
            </w:r>
            <w:r w:rsidR="25A540BF" w:rsidRPr="775FEF4E">
              <w:rPr>
                <w:rFonts w:ascii="Calibri" w:eastAsia="Calibri" w:hAnsi="Calibri" w:cs="Calibri"/>
                <w:sz w:val="24"/>
                <w:szCs w:val="24"/>
              </w:rPr>
              <w:t xml:space="preserve">base to start from and accompany them along their journey of building more mature privacy programs over time.   </w:t>
            </w:r>
          </w:p>
          <w:p w14:paraId="4F7B5C44" w14:textId="237F1D8E" w:rsidR="775FEF4E" w:rsidRDefault="775FEF4E" w:rsidP="775FEF4E">
            <w:pPr>
              <w:pStyle w:val="ListParagraph"/>
              <w:ind w:left="0"/>
              <w:rPr>
                <w:rFonts w:ascii="Calibri" w:eastAsia="Calibri" w:hAnsi="Calibri" w:cs="Calibri"/>
                <w:sz w:val="24"/>
                <w:szCs w:val="24"/>
              </w:rPr>
            </w:pPr>
          </w:p>
          <w:p w14:paraId="6D4FA9D0" w14:textId="283CAC64" w:rsidR="7FF0A43B" w:rsidRDefault="7FF0A43B" w:rsidP="775FEF4E">
            <w:pPr>
              <w:rPr>
                <w:rFonts w:ascii="Calibri" w:eastAsia="Calibri" w:hAnsi="Calibri" w:cs="Times New Roman"/>
                <w:sz w:val="24"/>
                <w:szCs w:val="24"/>
              </w:rPr>
            </w:pPr>
            <w:r w:rsidRPr="775FEF4E">
              <w:rPr>
                <w:rFonts w:ascii="Calibri" w:eastAsia="Calibri" w:hAnsi="Calibri" w:cs="Times New Roman"/>
                <w:sz w:val="24"/>
                <w:szCs w:val="24"/>
              </w:rPr>
              <w:t xml:space="preserve">The guidance material represents an innovative means by which the IPC is </w:t>
            </w:r>
            <w:r w:rsidR="5988F899" w:rsidRPr="775FEF4E">
              <w:rPr>
                <w:rFonts w:ascii="Calibri" w:eastAsia="Calibri" w:hAnsi="Calibri" w:cs="Times New Roman"/>
                <w:sz w:val="24"/>
                <w:szCs w:val="24"/>
              </w:rPr>
              <w:t xml:space="preserve">responding to different needs of different entities in the health sector. </w:t>
            </w:r>
            <w:r w:rsidR="6B1C941F" w:rsidRPr="775FEF4E">
              <w:rPr>
                <w:rFonts w:ascii="Calibri" w:eastAsia="Calibri" w:hAnsi="Calibri" w:cs="Times New Roman"/>
                <w:sz w:val="24"/>
                <w:szCs w:val="24"/>
              </w:rPr>
              <w:t xml:space="preserve"> This </w:t>
            </w:r>
            <w:r w:rsidR="5988F899" w:rsidRPr="775FEF4E">
              <w:rPr>
                <w:rFonts w:ascii="Calibri" w:eastAsia="Calibri" w:hAnsi="Calibri" w:cs="Times New Roman"/>
                <w:sz w:val="24"/>
                <w:szCs w:val="24"/>
              </w:rPr>
              <w:t xml:space="preserve">unique </w:t>
            </w:r>
            <w:r w:rsidR="681579BF" w:rsidRPr="775FEF4E">
              <w:rPr>
                <w:rFonts w:ascii="Calibri" w:eastAsia="Calibri" w:hAnsi="Calibri" w:cs="Times New Roman"/>
                <w:sz w:val="24"/>
                <w:szCs w:val="24"/>
              </w:rPr>
              <w:t xml:space="preserve">resource supports the regulatory compliance efforts of </w:t>
            </w:r>
            <w:r w:rsidR="3A08A15A" w:rsidRPr="775FEF4E">
              <w:rPr>
                <w:rFonts w:ascii="Calibri" w:eastAsia="Calibri" w:hAnsi="Calibri" w:cs="Times New Roman"/>
                <w:sz w:val="24"/>
                <w:szCs w:val="24"/>
              </w:rPr>
              <w:t xml:space="preserve">small health providers </w:t>
            </w:r>
            <w:r w:rsidR="4FBC311B" w:rsidRPr="775FEF4E">
              <w:rPr>
                <w:rFonts w:ascii="Calibri" w:eastAsia="Calibri" w:hAnsi="Calibri" w:cs="Times New Roman"/>
                <w:sz w:val="24"/>
                <w:szCs w:val="24"/>
              </w:rPr>
              <w:t>who</w:t>
            </w:r>
            <w:r w:rsidR="3A08A15A" w:rsidRPr="775FEF4E">
              <w:rPr>
                <w:rFonts w:ascii="Calibri" w:eastAsia="Calibri" w:hAnsi="Calibri" w:cs="Times New Roman"/>
                <w:sz w:val="24"/>
                <w:szCs w:val="24"/>
              </w:rPr>
              <w:t xml:space="preserve"> d</w:t>
            </w:r>
            <w:r w:rsidR="50120DE8" w:rsidRPr="775FEF4E">
              <w:rPr>
                <w:rFonts w:ascii="Calibri" w:eastAsia="Calibri" w:hAnsi="Calibri" w:cs="Times New Roman"/>
                <w:sz w:val="24"/>
                <w:szCs w:val="24"/>
              </w:rPr>
              <w:t xml:space="preserve">o not have the </w:t>
            </w:r>
            <w:r w:rsidR="2494E7D2" w:rsidRPr="775FEF4E">
              <w:rPr>
                <w:rFonts w:ascii="Calibri" w:eastAsia="Calibri" w:hAnsi="Calibri" w:cs="Times New Roman"/>
                <w:sz w:val="24"/>
                <w:szCs w:val="24"/>
              </w:rPr>
              <w:t xml:space="preserve">resources of </w:t>
            </w:r>
            <w:r w:rsidR="50120DE8" w:rsidRPr="775FEF4E">
              <w:rPr>
                <w:rFonts w:ascii="Calibri" w:eastAsia="Calibri" w:hAnsi="Calibri" w:cs="Times New Roman"/>
                <w:sz w:val="24"/>
                <w:szCs w:val="24"/>
              </w:rPr>
              <w:t>larger organizations</w:t>
            </w:r>
            <w:r w:rsidR="5ED884C8" w:rsidRPr="775FEF4E">
              <w:rPr>
                <w:rFonts w:ascii="Calibri" w:eastAsia="Calibri" w:hAnsi="Calibri" w:cs="Times New Roman"/>
                <w:sz w:val="24"/>
                <w:szCs w:val="24"/>
              </w:rPr>
              <w:t xml:space="preserve">, </w:t>
            </w:r>
            <w:r w:rsidR="514C3473" w:rsidRPr="775FEF4E">
              <w:rPr>
                <w:rFonts w:ascii="Calibri" w:eastAsia="Calibri" w:hAnsi="Calibri" w:cs="Times New Roman"/>
                <w:sz w:val="24"/>
                <w:szCs w:val="24"/>
              </w:rPr>
              <w:t>yet are</w:t>
            </w:r>
            <w:r w:rsidR="5ED884C8" w:rsidRPr="775FEF4E">
              <w:rPr>
                <w:rFonts w:ascii="Calibri" w:eastAsia="Calibri" w:hAnsi="Calibri" w:cs="Times New Roman"/>
                <w:sz w:val="24"/>
                <w:szCs w:val="24"/>
              </w:rPr>
              <w:t xml:space="preserve"> expected to comply with complex legislative requirements nonetheless.  </w:t>
            </w:r>
          </w:p>
          <w:p w14:paraId="25181ABA" w14:textId="16A696E1" w:rsidR="775FEF4E" w:rsidRDefault="775FEF4E" w:rsidP="775FEF4E">
            <w:pPr>
              <w:rPr>
                <w:rFonts w:ascii="Calibri" w:eastAsia="Calibri" w:hAnsi="Calibri" w:cs="Times New Roman"/>
                <w:sz w:val="24"/>
                <w:szCs w:val="24"/>
              </w:rPr>
            </w:pPr>
          </w:p>
          <w:p w14:paraId="2D622527" w14:textId="74E86370" w:rsidR="589C14AC" w:rsidRDefault="589C14AC" w:rsidP="775FEF4E">
            <w:pPr>
              <w:rPr>
                <w:rFonts w:ascii="Calibri" w:eastAsia="Calibri" w:hAnsi="Calibri" w:cs="Times New Roman"/>
                <w:sz w:val="24"/>
                <w:szCs w:val="24"/>
              </w:rPr>
            </w:pPr>
            <w:r w:rsidRPr="775FEF4E">
              <w:rPr>
                <w:rFonts w:ascii="Calibri" w:eastAsia="Calibri" w:hAnsi="Calibri" w:cs="Times New Roman"/>
                <w:sz w:val="24"/>
                <w:szCs w:val="24"/>
              </w:rPr>
              <w:t>The Handbook is</w:t>
            </w:r>
            <w:r w:rsidR="1E56AEB9" w:rsidRPr="775FEF4E">
              <w:rPr>
                <w:rFonts w:ascii="Calibri" w:eastAsia="Calibri" w:hAnsi="Calibri" w:cs="Times New Roman"/>
                <w:sz w:val="24"/>
                <w:szCs w:val="24"/>
              </w:rPr>
              <w:t xml:space="preserve"> intended to encourage them </w:t>
            </w:r>
            <w:r w:rsidR="3704048E" w:rsidRPr="775FEF4E">
              <w:rPr>
                <w:rFonts w:ascii="Calibri" w:eastAsia="Calibri" w:hAnsi="Calibri" w:cs="Times New Roman"/>
                <w:sz w:val="24"/>
                <w:szCs w:val="24"/>
              </w:rPr>
              <w:t xml:space="preserve">by giving them the tools they need to </w:t>
            </w:r>
            <w:r w:rsidR="664B29F5" w:rsidRPr="775FEF4E">
              <w:rPr>
                <w:rFonts w:ascii="Calibri" w:eastAsia="Calibri" w:hAnsi="Calibri" w:cs="Times New Roman"/>
                <w:sz w:val="24"/>
                <w:szCs w:val="24"/>
              </w:rPr>
              <w:t xml:space="preserve">start a basic privacy management program and </w:t>
            </w:r>
            <w:r w:rsidR="6A5FF075" w:rsidRPr="775FEF4E">
              <w:rPr>
                <w:rFonts w:ascii="Calibri" w:eastAsia="Calibri" w:hAnsi="Calibri" w:cs="Times New Roman"/>
                <w:sz w:val="24"/>
                <w:szCs w:val="24"/>
              </w:rPr>
              <w:t xml:space="preserve">work towards </w:t>
            </w:r>
            <w:r w:rsidR="3704048E" w:rsidRPr="775FEF4E">
              <w:rPr>
                <w:rFonts w:ascii="Calibri" w:eastAsia="Calibri" w:hAnsi="Calibri" w:cs="Times New Roman"/>
                <w:sz w:val="24"/>
                <w:szCs w:val="24"/>
              </w:rPr>
              <w:t>a</w:t>
            </w:r>
            <w:r w:rsidR="1E56AEB9" w:rsidRPr="775FEF4E">
              <w:rPr>
                <w:rFonts w:ascii="Calibri" w:eastAsia="Calibri" w:hAnsi="Calibri" w:cs="Times New Roman"/>
                <w:sz w:val="24"/>
                <w:szCs w:val="24"/>
              </w:rPr>
              <w:t>chiev</w:t>
            </w:r>
            <w:r w:rsidR="5AFD5190" w:rsidRPr="775FEF4E">
              <w:rPr>
                <w:rFonts w:ascii="Calibri" w:eastAsia="Calibri" w:hAnsi="Calibri" w:cs="Times New Roman"/>
                <w:sz w:val="24"/>
                <w:szCs w:val="24"/>
              </w:rPr>
              <w:t>ing</w:t>
            </w:r>
            <w:r w:rsidR="1E56AEB9" w:rsidRPr="775FEF4E">
              <w:rPr>
                <w:rFonts w:ascii="Calibri" w:eastAsia="Calibri" w:hAnsi="Calibri" w:cs="Times New Roman"/>
                <w:sz w:val="24"/>
                <w:szCs w:val="24"/>
              </w:rPr>
              <w:t xml:space="preserve"> greater </w:t>
            </w:r>
            <w:r w:rsidR="029E8974" w:rsidRPr="775FEF4E">
              <w:rPr>
                <w:rFonts w:ascii="Calibri" w:eastAsia="Calibri" w:hAnsi="Calibri" w:cs="Times New Roman"/>
                <w:sz w:val="24"/>
                <w:szCs w:val="24"/>
              </w:rPr>
              <w:t xml:space="preserve">privacy maturity </w:t>
            </w:r>
            <w:r w:rsidR="1E56AEB9" w:rsidRPr="775FEF4E">
              <w:rPr>
                <w:rFonts w:ascii="Calibri" w:eastAsia="Calibri" w:hAnsi="Calibri" w:cs="Times New Roman"/>
                <w:sz w:val="24"/>
                <w:szCs w:val="24"/>
              </w:rPr>
              <w:t xml:space="preserve">over time, rather than </w:t>
            </w:r>
            <w:r w:rsidR="3D61401E" w:rsidRPr="775FEF4E">
              <w:rPr>
                <w:rFonts w:ascii="Calibri" w:eastAsia="Calibri" w:hAnsi="Calibri" w:cs="Times New Roman"/>
                <w:sz w:val="24"/>
                <w:szCs w:val="24"/>
              </w:rPr>
              <w:t xml:space="preserve">feel </w:t>
            </w:r>
            <w:r w:rsidR="1E56AEB9" w:rsidRPr="775FEF4E">
              <w:rPr>
                <w:rFonts w:ascii="Calibri" w:eastAsia="Calibri" w:hAnsi="Calibri" w:cs="Times New Roman"/>
                <w:sz w:val="24"/>
                <w:szCs w:val="24"/>
              </w:rPr>
              <w:t xml:space="preserve">overwhelmed </w:t>
            </w:r>
            <w:r w:rsidR="7CEEFF8E" w:rsidRPr="775FEF4E">
              <w:rPr>
                <w:rFonts w:ascii="Calibri" w:eastAsia="Calibri" w:hAnsi="Calibri" w:cs="Times New Roman"/>
                <w:sz w:val="24"/>
                <w:szCs w:val="24"/>
              </w:rPr>
              <w:t xml:space="preserve">in a </w:t>
            </w:r>
            <w:r w:rsidR="1E56AEB9" w:rsidRPr="775FEF4E">
              <w:rPr>
                <w:rFonts w:ascii="Calibri" w:eastAsia="Calibri" w:hAnsi="Calibri" w:cs="Times New Roman"/>
                <w:sz w:val="24"/>
                <w:szCs w:val="24"/>
              </w:rPr>
              <w:t>helpless state of non-compliance</w:t>
            </w:r>
            <w:r w:rsidR="036AE620" w:rsidRPr="775FEF4E">
              <w:rPr>
                <w:rFonts w:ascii="Calibri" w:eastAsia="Calibri" w:hAnsi="Calibri" w:cs="Times New Roman"/>
                <w:sz w:val="24"/>
                <w:szCs w:val="24"/>
              </w:rPr>
              <w:t xml:space="preserve"> </w:t>
            </w:r>
            <w:r w:rsidR="0638BCE8" w:rsidRPr="775FEF4E">
              <w:rPr>
                <w:rFonts w:ascii="Calibri" w:eastAsia="Calibri" w:hAnsi="Calibri" w:cs="Times New Roman"/>
                <w:sz w:val="24"/>
                <w:szCs w:val="24"/>
              </w:rPr>
              <w:t xml:space="preserve">due to </w:t>
            </w:r>
            <w:r w:rsidR="036AE620" w:rsidRPr="775FEF4E">
              <w:rPr>
                <w:rFonts w:ascii="Calibri" w:eastAsia="Calibri" w:hAnsi="Calibri" w:cs="Times New Roman"/>
                <w:sz w:val="24"/>
                <w:szCs w:val="24"/>
              </w:rPr>
              <w:t>lack of resources</w:t>
            </w:r>
            <w:r w:rsidR="1E56AEB9" w:rsidRPr="775FEF4E">
              <w:rPr>
                <w:rFonts w:ascii="Calibri" w:eastAsia="Calibri" w:hAnsi="Calibri" w:cs="Times New Roman"/>
                <w:sz w:val="24"/>
                <w:szCs w:val="24"/>
              </w:rPr>
              <w:t xml:space="preserve">. </w:t>
            </w:r>
          </w:p>
          <w:p w14:paraId="4120D298" w14:textId="77777777" w:rsidR="00DD6623" w:rsidRPr="00DD6623" w:rsidRDefault="00DD6623" w:rsidP="00DD6623">
            <w:pPr>
              <w:rPr>
                <w:rFonts w:ascii="Calibri" w:eastAsia="Calibri" w:hAnsi="Calibri" w:cs="Times New Roman"/>
                <w:sz w:val="24"/>
                <w:szCs w:val="24"/>
              </w:rPr>
            </w:pP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42A19236" w14:textId="77777777" w:rsidTr="775FEF4E">
        <w:tc>
          <w:tcPr>
            <w:tcW w:w="9016" w:type="dxa"/>
            <w:tcBorders>
              <w:top w:val="nil"/>
              <w:left w:val="nil"/>
              <w:right w:val="nil"/>
            </w:tcBorders>
          </w:tcPr>
          <w:p w14:paraId="713CC013" w14:textId="77777777" w:rsidR="00DD6623" w:rsidRPr="00DD6623" w:rsidRDefault="00DD6623" w:rsidP="00DD6623">
            <w:pPr>
              <w:numPr>
                <w:ilvl w:val="0"/>
                <w:numId w:val="6"/>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775FEF4E">
        <w:tc>
          <w:tcPr>
            <w:tcW w:w="9016" w:type="dxa"/>
            <w:tcBorders>
              <w:left w:val="single" w:sz="4" w:space="0" w:color="auto"/>
              <w:right w:val="single" w:sz="4" w:space="0" w:color="auto"/>
            </w:tcBorders>
          </w:tcPr>
          <w:p w14:paraId="4B72FE74" w14:textId="77777777" w:rsidR="00DD6623" w:rsidRPr="00DD6623" w:rsidRDefault="00DD6623" w:rsidP="00DD6623">
            <w:pPr>
              <w:rPr>
                <w:rFonts w:ascii="Calibri" w:eastAsia="Calibri" w:hAnsi="Calibri" w:cs="Times New Roman"/>
                <w:sz w:val="24"/>
                <w:szCs w:val="24"/>
              </w:rPr>
            </w:pPr>
          </w:p>
          <w:p w14:paraId="15988401" w14:textId="5D8B4C11" w:rsidR="00DD6623" w:rsidRPr="00DD6623" w:rsidRDefault="1D97B913" w:rsidP="00DD6623">
            <w:pPr>
              <w:rPr>
                <w:rFonts w:ascii="Calibri" w:eastAsia="Calibri" w:hAnsi="Calibri" w:cs="Times New Roman"/>
                <w:sz w:val="24"/>
                <w:szCs w:val="24"/>
              </w:rPr>
            </w:pPr>
            <w:r>
              <w:rPr>
                <w:noProof/>
              </w:rPr>
              <w:lastRenderedPageBreak/>
              <w:drawing>
                <wp:inline distT="0" distB="0" distL="0" distR="0" wp14:anchorId="43F21A4B" wp14:editId="48D51D7A">
                  <wp:extent cx="3794629" cy="4851487"/>
                  <wp:effectExtent l="0" t="0" r="0" b="0"/>
                  <wp:docPr id="42800024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00248" name="Picture 1" descr="A screenshot of a computer&#10;&#10;AI-generated content may be incorrect."/>
                          <pic:cNvPicPr/>
                        </pic:nvPicPr>
                        <pic:blipFill rotWithShape="1">
                          <a:blip r:embed="rId13"/>
                          <a:srcRect l="29915" t="10940" r="29808" b="6667"/>
                          <a:stretch/>
                        </pic:blipFill>
                        <pic:spPr bwMode="auto">
                          <a:xfrm>
                            <a:off x="0" y="0"/>
                            <a:ext cx="3794629" cy="4851487"/>
                          </a:xfrm>
                          <a:prstGeom prst="rect">
                            <a:avLst/>
                          </a:prstGeom>
                          <a:ln>
                            <a:noFill/>
                          </a:ln>
                        </pic:spPr>
                      </pic:pic>
                    </a:graphicData>
                  </a:graphic>
                </wp:inline>
              </w:drawing>
            </w:r>
          </w:p>
          <w:p w14:paraId="170CE85E" w14:textId="77777777" w:rsidR="00DD6623" w:rsidRPr="00DD6623" w:rsidRDefault="00DD6623" w:rsidP="00DD6623">
            <w:pPr>
              <w:rPr>
                <w:rFonts w:ascii="Calibri" w:eastAsia="Calibri" w:hAnsi="Calibri" w:cs="Times New Roman"/>
                <w:sz w:val="24"/>
                <w:szCs w:val="24"/>
              </w:rPr>
            </w:pPr>
          </w:p>
          <w:p w14:paraId="653B14FE" w14:textId="77777777" w:rsidR="00DD6623" w:rsidRPr="00DD6623" w:rsidRDefault="00DD6623" w:rsidP="00DD6623">
            <w:pPr>
              <w:rPr>
                <w:rFonts w:ascii="Calibri" w:eastAsia="Calibri" w:hAnsi="Calibri" w:cs="Times New Roman"/>
                <w:sz w:val="24"/>
                <w:szCs w:val="24"/>
              </w:rPr>
            </w:pPr>
          </w:p>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7EAEDEE" w14:textId="77777777" w:rsidTr="00F5191B">
        <w:tc>
          <w:tcPr>
            <w:tcW w:w="9016" w:type="dxa"/>
            <w:tcBorders>
              <w:top w:val="nil"/>
              <w:left w:val="nil"/>
              <w:right w:val="nil"/>
            </w:tcBorders>
          </w:tcPr>
          <w:p w14:paraId="1163ACDA" w14:textId="77777777" w:rsidR="00DD6623" w:rsidRPr="00DD6623" w:rsidRDefault="00DD6623" w:rsidP="00DD6623">
            <w:pPr>
              <w:numPr>
                <w:ilvl w:val="0"/>
                <w:numId w:val="6"/>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14:paraId="15EFE132" w14:textId="77777777" w:rsidTr="00F5191B">
        <w:tc>
          <w:tcPr>
            <w:tcW w:w="9016" w:type="dxa"/>
          </w:tcPr>
          <w:p w14:paraId="4AB688EB" w14:textId="77777777" w:rsidR="00DD6623" w:rsidRPr="00DD6623" w:rsidRDefault="00DD6623" w:rsidP="00DD6623">
            <w:pPr>
              <w:rPr>
                <w:rFonts w:ascii="Calibri" w:eastAsia="Calibri" w:hAnsi="Calibri" w:cs="Times New Roman"/>
                <w:i/>
                <w:iCs/>
                <w:sz w:val="24"/>
                <w:szCs w:val="24"/>
              </w:rPr>
            </w:pPr>
          </w:p>
          <w:p w14:paraId="03FA6513" w14:textId="111A4F62" w:rsidR="00DD6623" w:rsidRDefault="00A161D6" w:rsidP="00DD6623">
            <w:pPr>
              <w:rPr>
                <w:rFonts w:ascii="Calibri" w:eastAsia="Calibri" w:hAnsi="Calibri" w:cs="Times New Roman"/>
                <w:sz w:val="24"/>
                <w:szCs w:val="24"/>
              </w:rPr>
            </w:pPr>
            <w:hyperlink r:id="rId14" w:history="1">
              <w:r w:rsidRPr="005141A9">
                <w:rPr>
                  <w:rStyle w:val="Hyperlink"/>
                  <w:rFonts w:ascii="Calibri" w:eastAsia="Calibri" w:hAnsi="Calibri" w:cs="Times New Roman"/>
                  <w:sz w:val="24"/>
                  <w:szCs w:val="24"/>
                </w:rPr>
                <w:t>https://www.ipc.on.ca/en/resources/privacy-management-handbook-for-small-health-care-organizations</w:t>
              </w:r>
            </w:hyperlink>
          </w:p>
          <w:p w14:paraId="38043EF4" w14:textId="77777777" w:rsidR="00DD6623" w:rsidRPr="00DD6623" w:rsidRDefault="00DD6623" w:rsidP="00DD6623">
            <w:pPr>
              <w:rPr>
                <w:rFonts w:ascii="Calibri" w:eastAsia="Calibri" w:hAnsi="Calibri" w:cs="Times New Roman"/>
                <w:i/>
                <w:iCs/>
                <w:sz w:val="24"/>
                <w:szCs w:val="24"/>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04E1CA4" w14:textId="77777777" w:rsidTr="00F5191B">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6"/>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14:paraId="4294AB06" w14:textId="77777777" w:rsidTr="00F5191B">
        <w:tc>
          <w:tcPr>
            <w:tcW w:w="9016" w:type="dxa"/>
            <w:tcBorders>
              <w:top w:val="single" w:sz="4" w:space="0" w:color="auto"/>
            </w:tcBorders>
          </w:tcPr>
          <w:p w14:paraId="1FAD80D8" w14:textId="759C417A" w:rsidR="00DD6623" w:rsidRPr="001A724A" w:rsidRDefault="00DD6623" w:rsidP="00DD6623">
            <w:pPr>
              <w:rPr>
                <w:rFonts w:ascii="Calibri" w:eastAsia="Calibri" w:hAnsi="Calibri" w:cs="Times New Roman"/>
                <w:sz w:val="24"/>
                <w:szCs w:val="24"/>
              </w:rPr>
            </w:pPr>
          </w:p>
          <w:p w14:paraId="7F5143EF" w14:textId="77777777" w:rsidR="001A724A" w:rsidRPr="001A724A" w:rsidRDefault="001A724A" w:rsidP="001A724A">
            <w:pPr>
              <w:rPr>
                <w:rFonts w:ascii="Calibri" w:eastAsia="Calibri" w:hAnsi="Calibri" w:cs="Times New Roman"/>
                <w:sz w:val="24"/>
                <w:szCs w:val="24"/>
                <w:lang w:val="en-CA"/>
              </w:rPr>
            </w:pPr>
            <w:hyperlink r:id="rId15" w:history="1">
              <w:r w:rsidRPr="001A724A">
                <w:rPr>
                  <w:rStyle w:val="Hyperlink"/>
                  <w:rFonts w:ascii="Calibri" w:eastAsia="Calibri" w:hAnsi="Calibri" w:cs="Times New Roman"/>
                  <w:sz w:val="24"/>
                  <w:szCs w:val="24"/>
                  <w:lang w:val="en-CA"/>
                </w:rPr>
                <w:t>Trust in Digital Health</w:t>
              </w:r>
            </w:hyperlink>
          </w:p>
          <w:p w14:paraId="5E3499F6" w14:textId="77777777" w:rsidR="00DD6623" w:rsidRPr="001A724A" w:rsidRDefault="00DD6623" w:rsidP="00DD6623">
            <w:pPr>
              <w:rPr>
                <w:rFonts w:ascii="Calibri" w:eastAsia="Calibri" w:hAnsi="Calibri" w:cs="Times New Roman"/>
                <w:b/>
                <w:bCs/>
                <w:i/>
                <w:iCs/>
                <w:sz w:val="24"/>
                <w:szCs w:val="24"/>
              </w:rPr>
            </w:pPr>
          </w:p>
          <w:p w14:paraId="230354C0" w14:textId="77777777" w:rsidR="00DD6623" w:rsidRPr="00DD6623" w:rsidRDefault="00DD6623" w:rsidP="00DD6623">
            <w:pPr>
              <w:rPr>
                <w:rFonts w:ascii="Calibri" w:eastAsia="Calibri" w:hAnsi="Calibri" w:cs="Times New Roman"/>
                <w:sz w:val="24"/>
                <w:szCs w:val="24"/>
              </w:rPr>
            </w:pPr>
          </w:p>
          <w:p w14:paraId="51D7102F" w14:textId="77777777" w:rsidR="00DD6623" w:rsidRPr="00DD6623" w:rsidRDefault="00DD6623" w:rsidP="00DD6623">
            <w:pPr>
              <w:rPr>
                <w:rFonts w:ascii="Calibri" w:eastAsia="Calibri" w:hAnsi="Calibri" w:cs="Times New Roman"/>
                <w:i/>
                <w:iCs/>
                <w:sz w:val="24"/>
                <w:szCs w:val="24"/>
              </w:rPr>
            </w:pPr>
          </w:p>
        </w:tc>
      </w:tr>
    </w:tbl>
    <w:p w14:paraId="6E186973" w14:textId="77777777" w:rsidR="001B3FE8" w:rsidRPr="006756E8" w:rsidRDefault="001B3FE8" w:rsidP="00D67BB7">
      <w:pPr>
        <w:rPr>
          <w:sz w:val="24"/>
          <w:szCs w:val="24"/>
        </w:rPr>
      </w:pPr>
    </w:p>
    <w:sectPr w:rsidR="001B3FE8" w:rsidRPr="006756E8" w:rsidSect="00CB241A">
      <w:headerReference w:type="default" r:id="rId16"/>
      <w:footerReference w:type="default" r:id="rId17"/>
      <w:headerReference w:type="first" r:id="rId18"/>
      <w:footerReference w:type="first" r:id="rId19"/>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9C4B5" w14:textId="77777777" w:rsidR="004F6D60" w:rsidRDefault="004F6D60" w:rsidP="00F41B32">
      <w:pPr>
        <w:spacing w:after="0" w:line="240" w:lineRule="auto"/>
      </w:pPr>
      <w:r>
        <w:separator/>
      </w:r>
    </w:p>
  </w:endnote>
  <w:endnote w:type="continuationSeparator" w:id="0">
    <w:p w14:paraId="72A3D2BD" w14:textId="77777777" w:rsidR="004F6D60" w:rsidRDefault="004F6D60" w:rsidP="00F41B32">
      <w:pPr>
        <w:spacing w:after="0" w:line="240" w:lineRule="auto"/>
      </w:pPr>
      <w:r>
        <w:continuationSeparator/>
      </w:r>
    </w:p>
  </w:endnote>
  <w:endnote w:type="continuationNotice" w:id="1">
    <w:p w14:paraId="39D94C24" w14:textId="77777777" w:rsidR="004F6D60" w:rsidRDefault="004F6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37552"/>
      <w:docPartObj>
        <w:docPartGallery w:val="Page Numbers (Bottom of Page)"/>
        <w:docPartUnique/>
      </w:docPartObj>
    </w:sdtPr>
    <w:sdtEndPr>
      <w:rPr>
        <w:noProof/>
      </w:rPr>
    </w:sdtEndPr>
    <w:sdtContent>
      <w:p w14:paraId="464DD53D" w14:textId="77777777" w:rsidR="00DE7A0D" w:rsidRDefault="00DE7A0D">
        <w:pPr>
          <w:pStyle w:val="Footer"/>
          <w:jc w:val="right"/>
        </w:pPr>
        <w:r>
          <w:fldChar w:fldCharType="begin"/>
        </w:r>
        <w:r>
          <w:instrText xml:space="preserve"> PAGE   \* MERGEFORMAT </w:instrText>
        </w:r>
        <w:r>
          <w:fldChar w:fldCharType="separate"/>
        </w:r>
        <w:r w:rsidR="002F7D3D">
          <w:rPr>
            <w:noProof/>
          </w:rPr>
          <w:t>1</w:t>
        </w:r>
        <w:r>
          <w:rPr>
            <w:noProof/>
          </w:rPr>
          <w:fldChar w:fldCharType="end"/>
        </w:r>
      </w:p>
    </w:sdtContent>
  </w:sdt>
  <w:p w14:paraId="464DD53E" w14:textId="77777777" w:rsidR="00DE7A0D" w:rsidRDefault="00DE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067744"/>
      <w:docPartObj>
        <w:docPartGallery w:val="Page Numbers (Bottom of Page)"/>
        <w:docPartUnique/>
      </w:docPartObj>
    </w:sdtPr>
    <w:sdtEndPr>
      <w:rPr>
        <w:noProof/>
      </w:rPr>
    </w:sdtEndPr>
    <w:sdtContent>
      <w:p w14:paraId="37498756" w14:textId="31506E9E" w:rsidR="0082165F" w:rsidRDefault="008216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937DE1" w14:textId="77777777" w:rsidR="0082165F" w:rsidRDefault="0082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446CD" w14:textId="77777777" w:rsidR="004F6D60" w:rsidRDefault="004F6D60" w:rsidP="00F41B32">
      <w:pPr>
        <w:spacing w:after="0" w:line="240" w:lineRule="auto"/>
      </w:pPr>
      <w:r>
        <w:separator/>
      </w:r>
    </w:p>
  </w:footnote>
  <w:footnote w:type="continuationSeparator" w:id="0">
    <w:p w14:paraId="29F545F1" w14:textId="77777777" w:rsidR="004F6D60" w:rsidRDefault="004F6D60" w:rsidP="00F41B32">
      <w:pPr>
        <w:spacing w:after="0" w:line="240" w:lineRule="auto"/>
      </w:pPr>
      <w:r>
        <w:continuationSeparator/>
      </w:r>
    </w:p>
  </w:footnote>
  <w:footnote w:type="continuationNotice" w:id="1">
    <w:p w14:paraId="3F420AF3" w14:textId="77777777" w:rsidR="004F6D60" w:rsidRDefault="004F6D60">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FootnoteReference"/>
          <w:rFonts w:cs="Calibri"/>
          <w:sz w:val="18"/>
          <w:szCs w:val="18"/>
        </w:rPr>
        <w:footnoteRef/>
      </w:r>
      <w:r w:rsidRPr="00DD6623">
        <w:rPr>
          <w:rFonts w:cs="Calibri"/>
          <w:sz w:val="18"/>
          <w:szCs w:val="18"/>
        </w:rPr>
        <w:t xml:space="preserve"> </w:t>
      </w:r>
      <w:hyperlink r:id="rId1" w:history="1">
        <w:r w:rsidRPr="00A42A5D">
          <w:rPr>
            <w:rStyle w:val="Hyperlink"/>
            <w:rFonts w:cs="Calibri"/>
            <w:sz w:val="18"/>
            <w:szCs w:val="18"/>
          </w:rPr>
          <w:t>GPA Rules and Procedures</w:t>
        </w:r>
      </w:hyperlink>
      <w:r w:rsidRPr="00DD6623">
        <w:rPr>
          <w:rFonts w:cs="Calibri"/>
          <w:sz w:val="18"/>
          <w:szCs w:val="18"/>
        </w:rPr>
        <w:t>, Rule 6.2 ‘Assembly documents’:</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842A" w14:textId="3A0A8FDD" w:rsidR="00502848" w:rsidRDefault="00502848" w:rsidP="005028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680E" w14:textId="5B04ECB8" w:rsidR="00FE1CBF" w:rsidRDefault="0CF9034D" w:rsidP="00FE1CBF">
    <w:pPr>
      <w:pStyle w:val="Header"/>
      <w:jc w:val="center"/>
    </w:pPr>
    <w:r>
      <w:rPr>
        <w:noProof/>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ACD5"/>
    <w:multiLevelType w:val="hybridMultilevel"/>
    <w:tmpl w:val="26CA862C"/>
    <w:lvl w:ilvl="0" w:tplc="AF143662">
      <w:start w:val="1"/>
      <w:numFmt w:val="bullet"/>
      <w:lvlText w:val=""/>
      <w:lvlJc w:val="left"/>
      <w:pPr>
        <w:ind w:left="720" w:hanging="360"/>
      </w:pPr>
      <w:rPr>
        <w:rFonts w:ascii="Symbol" w:hAnsi="Symbol" w:hint="default"/>
      </w:rPr>
    </w:lvl>
    <w:lvl w:ilvl="1" w:tplc="B8C0302C">
      <w:start w:val="1"/>
      <w:numFmt w:val="bullet"/>
      <w:lvlText w:val="o"/>
      <w:lvlJc w:val="left"/>
      <w:pPr>
        <w:ind w:left="1440" w:hanging="360"/>
      </w:pPr>
      <w:rPr>
        <w:rFonts w:ascii="Courier New" w:hAnsi="Courier New" w:hint="default"/>
      </w:rPr>
    </w:lvl>
    <w:lvl w:ilvl="2" w:tplc="83584758">
      <w:start w:val="1"/>
      <w:numFmt w:val="bullet"/>
      <w:lvlText w:val=""/>
      <w:lvlJc w:val="left"/>
      <w:pPr>
        <w:ind w:left="2160" w:hanging="360"/>
      </w:pPr>
      <w:rPr>
        <w:rFonts w:ascii="Wingdings" w:hAnsi="Wingdings" w:hint="default"/>
      </w:rPr>
    </w:lvl>
    <w:lvl w:ilvl="3" w:tplc="60843E90">
      <w:start w:val="1"/>
      <w:numFmt w:val="bullet"/>
      <w:lvlText w:val=""/>
      <w:lvlJc w:val="left"/>
      <w:pPr>
        <w:ind w:left="2880" w:hanging="360"/>
      </w:pPr>
      <w:rPr>
        <w:rFonts w:ascii="Symbol" w:hAnsi="Symbol" w:hint="default"/>
      </w:rPr>
    </w:lvl>
    <w:lvl w:ilvl="4" w:tplc="9168E6A0">
      <w:start w:val="1"/>
      <w:numFmt w:val="bullet"/>
      <w:lvlText w:val="o"/>
      <w:lvlJc w:val="left"/>
      <w:pPr>
        <w:ind w:left="3600" w:hanging="360"/>
      </w:pPr>
      <w:rPr>
        <w:rFonts w:ascii="Courier New" w:hAnsi="Courier New" w:hint="default"/>
      </w:rPr>
    </w:lvl>
    <w:lvl w:ilvl="5" w:tplc="41B8A70C">
      <w:start w:val="1"/>
      <w:numFmt w:val="bullet"/>
      <w:lvlText w:val=""/>
      <w:lvlJc w:val="left"/>
      <w:pPr>
        <w:ind w:left="4320" w:hanging="360"/>
      </w:pPr>
      <w:rPr>
        <w:rFonts w:ascii="Wingdings" w:hAnsi="Wingdings" w:hint="default"/>
      </w:rPr>
    </w:lvl>
    <w:lvl w:ilvl="6" w:tplc="EA880E1E">
      <w:start w:val="1"/>
      <w:numFmt w:val="bullet"/>
      <w:lvlText w:val=""/>
      <w:lvlJc w:val="left"/>
      <w:pPr>
        <w:ind w:left="5040" w:hanging="360"/>
      </w:pPr>
      <w:rPr>
        <w:rFonts w:ascii="Symbol" w:hAnsi="Symbol" w:hint="default"/>
      </w:rPr>
    </w:lvl>
    <w:lvl w:ilvl="7" w:tplc="F210E7F8">
      <w:start w:val="1"/>
      <w:numFmt w:val="bullet"/>
      <w:lvlText w:val="o"/>
      <w:lvlJc w:val="left"/>
      <w:pPr>
        <w:ind w:left="5760" w:hanging="360"/>
      </w:pPr>
      <w:rPr>
        <w:rFonts w:ascii="Courier New" w:hAnsi="Courier New" w:hint="default"/>
      </w:rPr>
    </w:lvl>
    <w:lvl w:ilvl="8" w:tplc="CC1AB3E2">
      <w:start w:val="1"/>
      <w:numFmt w:val="bullet"/>
      <w:lvlText w:val=""/>
      <w:lvlJc w:val="left"/>
      <w:pPr>
        <w:ind w:left="6480" w:hanging="360"/>
      </w:pPr>
      <w:rPr>
        <w:rFonts w:ascii="Wingdings" w:hAnsi="Wingdings" w:hint="default"/>
      </w:rPr>
    </w:lvl>
  </w:abstractNum>
  <w:abstractNum w:abstractNumId="1" w15:restartNumberingAfterBreak="0">
    <w:nsid w:val="024A73D1"/>
    <w:multiLevelType w:val="multilevel"/>
    <w:tmpl w:val="D69E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F4265F1"/>
    <w:multiLevelType w:val="hybridMultilevel"/>
    <w:tmpl w:val="C25CFF4C"/>
    <w:lvl w:ilvl="0" w:tplc="D438EA24">
      <w:start w:val="1"/>
      <w:numFmt w:val="bullet"/>
      <w:lvlText w:val=""/>
      <w:lvlJc w:val="left"/>
      <w:pPr>
        <w:ind w:left="720" w:hanging="360"/>
      </w:pPr>
      <w:rPr>
        <w:rFonts w:ascii="Symbol" w:hAnsi="Symbol" w:hint="default"/>
      </w:rPr>
    </w:lvl>
    <w:lvl w:ilvl="1" w:tplc="018E0F54">
      <w:start w:val="1"/>
      <w:numFmt w:val="bullet"/>
      <w:lvlText w:val="o"/>
      <w:lvlJc w:val="left"/>
      <w:pPr>
        <w:ind w:left="1440" w:hanging="360"/>
      </w:pPr>
      <w:rPr>
        <w:rFonts w:ascii="Courier New" w:hAnsi="Courier New" w:hint="default"/>
      </w:rPr>
    </w:lvl>
    <w:lvl w:ilvl="2" w:tplc="89C01C0C">
      <w:start w:val="1"/>
      <w:numFmt w:val="bullet"/>
      <w:lvlText w:val=""/>
      <w:lvlJc w:val="left"/>
      <w:pPr>
        <w:ind w:left="2160" w:hanging="360"/>
      </w:pPr>
      <w:rPr>
        <w:rFonts w:ascii="Wingdings" w:hAnsi="Wingdings" w:hint="default"/>
      </w:rPr>
    </w:lvl>
    <w:lvl w:ilvl="3" w:tplc="428A1270">
      <w:start w:val="1"/>
      <w:numFmt w:val="bullet"/>
      <w:lvlText w:val=""/>
      <w:lvlJc w:val="left"/>
      <w:pPr>
        <w:ind w:left="2880" w:hanging="360"/>
      </w:pPr>
      <w:rPr>
        <w:rFonts w:ascii="Symbol" w:hAnsi="Symbol" w:hint="default"/>
      </w:rPr>
    </w:lvl>
    <w:lvl w:ilvl="4" w:tplc="AF90DB36">
      <w:start w:val="1"/>
      <w:numFmt w:val="bullet"/>
      <w:lvlText w:val="o"/>
      <w:lvlJc w:val="left"/>
      <w:pPr>
        <w:ind w:left="3600" w:hanging="360"/>
      </w:pPr>
      <w:rPr>
        <w:rFonts w:ascii="Courier New" w:hAnsi="Courier New" w:hint="default"/>
      </w:rPr>
    </w:lvl>
    <w:lvl w:ilvl="5" w:tplc="3FECCF68">
      <w:start w:val="1"/>
      <w:numFmt w:val="bullet"/>
      <w:lvlText w:val=""/>
      <w:lvlJc w:val="left"/>
      <w:pPr>
        <w:ind w:left="4320" w:hanging="360"/>
      </w:pPr>
      <w:rPr>
        <w:rFonts w:ascii="Wingdings" w:hAnsi="Wingdings" w:hint="default"/>
      </w:rPr>
    </w:lvl>
    <w:lvl w:ilvl="6" w:tplc="6322A53E">
      <w:start w:val="1"/>
      <w:numFmt w:val="bullet"/>
      <w:lvlText w:val=""/>
      <w:lvlJc w:val="left"/>
      <w:pPr>
        <w:ind w:left="5040" w:hanging="360"/>
      </w:pPr>
      <w:rPr>
        <w:rFonts w:ascii="Symbol" w:hAnsi="Symbol" w:hint="default"/>
      </w:rPr>
    </w:lvl>
    <w:lvl w:ilvl="7" w:tplc="ED36E59C">
      <w:start w:val="1"/>
      <w:numFmt w:val="bullet"/>
      <w:lvlText w:val="o"/>
      <w:lvlJc w:val="left"/>
      <w:pPr>
        <w:ind w:left="5760" w:hanging="360"/>
      </w:pPr>
      <w:rPr>
        <w:rFonts w:ascii="Courier New" w:hAnsi="Courier New" w:hint="default"/>
      </w:rPr>
    </w:lvl>
    <w:lvl w:ilvl="8" w:tplc="1D304310">
      <w:start w:val="1"/>
      <w:numFmt w:val="bullet"/>
      <w:lvlText w:val=""/>
      <w:lvlJc w:val="left"/>
      <w:pPr>
        <w:ind w:left="6480" w:hanging="360"/>
      </w:pPr>
      <w:rPr>
        <w:rFonts w:ascii="Wingdings" w:hAnsi="Wingdings" w:hint="default"/>
      </w:rPr>
    </w:lvl>
  </w:abstractNum>
  <w:abstractNum w:abstractNumId="6"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463187404">
    <w:abstractNumId w:val="0"/>
  </w:num>
  <w:num w:numId="2" w16cid:durableId="2014989587">
    <w:abstractNumId w:val="5"/>
  </w:num>
  <w:num w:numId="3" w16cid:durableId="2041782953">
    <w:abstractNumId w:val="2"/>
  </w:num>
  <w:num w:numId="4" w16cid:durableId="1919173016">
    <w:abstractNumId w:val="6"/>
  </w:num>
  <w:num w:numId="5" w16cid:durableId="1738243251">
    <w:abstractNumId w:val="3"/>
  </w:num>
  <w:num w:numId="6" w16cid:durableId="182015408">
    <w:abstractNumId w:val="4"/>
  </w:num>
  <w:num w:numId="7" w16cid:durableId="87586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32"/>
    <w:rsid w:val="000424C6"/>
    <w:rsid w:val="00054214"/>
    <w:rsid w:val="00054D8F"/>
    <w:rsid w:val="00074986"/>
    <w:rsid w:val="000C0B2F"/>
    <w:rsid w:val="000F36AE"/>
    <w:rsid w:val="001268C5"/>
    <w:rsid w:val="00150BA3"/>
    <w:rsid w:val="00167E37"/>
    <w:rsid w:val="00171841"/>
    <w:rsid w:val="00177F95"/>
    <w:rsid w:val="00181F5A"/>
    <w:rsid w:val="00193EBC"/>
    <w:rsid w:val="001A724A"/>
    <w:rsid w:val="001B1447"/>
    <w:rsid w:val="001B3FE8"/>
    <w:rsid w:val="001D4FC2"/>
    <w:rsid w:val="00216430"/>
    <w:rsid w:val="00235848"/>
    <w:rsid w:val="002604F5"/>
    <w:rsid w:val="00281428"/>
    <w:rsid w:val="002D106F"/>
    <w:rsid w:val="002F7D3D"/>
    <w:rsid w:val="00301994"/>
    <w:rsid w:val="00316AE1"/>
    <w:rsid w:val="00326476"/>
    <w:rsid w:val="00362411"/>
    <w:rsid w:val="0036601C"/>
    <w:rsid w:val="003800F5"/>
    <w:rsid w:val="003A0EC7"/>
    <w:rsid w:val="003A37D3"/>
    <w:rsid w:val="003B7DAA"/>
    <w:rsid w:val="003D58FC"/>
    <w:rsid w:val="003E59C1"/>
    <w:rsid w:val="003E5F09"/>
    <w:rsid w:val="0041CE33"/>
    <w:rsid w:val="0043397E"/>
    <w:rsid w:val="004467A0"/>
    <w:rsid w:val="00471E98"/>
    <w:rsid w:val="00480B2C"/>
    <w:rsid w:val="0049273F"/>
    <w:rsid w:val="00496DC7"/>
    <w:rsid w:val="004B3AC7"/>
    <w:rsid w:val="004C41B3"/>
    <w:rsid w:val="004D1E2E"/>
    <w:rsid w:val="004E5F37"/>
    <w:rsid w:val="004F6D60"/>
    <w:rsid w:val="00500A57"/>
    <w:rsid w:val="00502848"/>
    <w:rsid w:val="00514A4F"/>
    <w:rsid w:val="00551B93"/>
    <w:rsid w:val="00557CE3"/>
    <w:rsid w:val="0057237B"/>
    <w:rsid w:val="00595F4A"/>
    <w:rsid w:val="005C0354"/>
    <w:rsid w:val="005D2EAF"/>
    <w:rsid w:val="005E12FC"/>
    <w:rsid w:val="005E4320"/>
    <w:rsid w:val="005E4FDC"/>
    <w:rsid w:val="00600353"/>
    <w:rsid w:val="00633D54"/>
    <w:rsid w:val="00643E8E"/>
    <w:rsid w:val="006756E8"/>
    <w:rsid w:val="0068231A"/>
    <w:rsid w:val="006832D5"/>
    <w:rsid w:val="00697F72"/>
    <w:rsid w:val="006A3D3A"/>
    <w:rsid w:val="006E1894"/>
    <w:rsid w:val="0070032E"/>
    <w:rsid w:val="0071587F"/>
    <w:rsid w:val="0072573D"/>
    <w:rsid w:val="007476C6"/>
    <w:rsid w:val="00747895"/>
    <w:rsid w:val="00792750"/>
    <w:rsid w:val="007B2B44"/>
    <w:rsid w:val="007B6E8E"/>
    <w:rsid w:val="007D00E1"/>
    <w:rsid w:val="00805A48"/>
    <w:rsid w:val="00806684"/>
    <w:rsid w:val="00816ED0"/>
    <w:rsid w:val="0082165F"/>
    <w:rsid w:val="0082183A"/>
    <w:rsid w:val="00830CDA"/>
    <w:rsid w:val="00863C68"/>
    <w:rsid w:val="008D3516"/>
    <w:rsid w:val="00903E7C"/>
    <w:rsid w:val="00922151"/>
    <w:rsid w:val="009B3AEE"/>
    <w:rsid w:val="009B59FC"/>
    <w:rsid w:val="009C0518"/>
    <w:rsid w:val="00A04F81"/>
    <w:rsid w:val="00A161D6"/>
    <w:rsid w:val="00A3098B"/>
    <w:rsid w:val="00A30B63"/>
    <w:rsid w:val="00A42A5D"/>
    <w:rsid w:val="00A45AD6"/>
    <w:rsid w:val="00A56192"/>
    <w:rsid w:val="00A8062F"/>
    <w:rsid w:val="00A947E7"/>
    <w:rsid w:val="00AC02D8"/>
    <w:rsid w:val="00AC269B"/>
    <w:rsid w:val="00AF2415"/>
    <w:rsid w:val="00B17318"/>
    <w:rsid w:val="00B541DD"/>
    <w:rsid w:val="00B62F7A"/>
    <w:rsid w:val="00B75191"/>
    <w:rsid w:val="00B831EB"/>
    <w:rsid w:val="00BB6A10"/>
    <w:rsid w:val="00BD2F98"/>
    <w:rsid w:val="00BF49F3"/>
    <w:rsid w:val="00C27874"/>
    <w:rsid w:val="00C47A34"/>
    <w:rsid w:val="00C50D85"/>
    <w:rsid w:val="00C574B1"/>
    <w:rsid w:val="00C67697"/>
    <w:rsid w:val="00C91AFF"/>
    <w:rsid w:val="00C96C3C"/>
    <w:rsid w:val="00C97DE0"/>
    <w:rsid w:val="00CB0A28"/>
    <w:rsid w:val="00CB241A"/>
    <w:rsid w:val="00CE741E"/>
    <w:rsid w:val="00D1439C"/>
    <w:rsid w:val="00D15EEF"/>
    <w:rsid w:val="00D2147F"/>
    <w:rsid w:val="00D37799"/>
    <w:rsid w:val="00D456F2"/>
    <w:rsid w:val="00D60184"/>
    <w:rsid w:val="00D67BB7"/>
    <w:rsid w:val="00D81921"/>
    <w:rsid w:val="00D97CA0"/>
    <w:rsid w:val="00DC58A3"/>
    <w:rsid w:val="00DC6E06"/>
    <w:rsid w:val="00DD6623"/>
    <w:rsid w:val="00DE2947"/>
    <w:rsid w:val="00DE7A0D"/>
    <w:rsid w:val="00DF40FC"/>
    <w:rsid w:val="00E02E87"/>
    <w:rsid w:val="00E43076"/>
    <w:rsid w:val="00E57180"/>
    <w:rsid w:val="00E90C6C"/>
    <w:rsid w:val="00E933E6"/>
    <w:rsid w:val="00EE7D51"/>
    <w:rsid w:val="00F00A94"/>
    <w:rsid w:val="00F41B32"/>
    <w:rsid w:val="00F63F94"/>
    <w:rsid w:val="00F83EFA"/>
    <w:rsid w:val="00FC40D9"/>
    <w:rsid w:val="00FD0D20"/>
    <w:rsid w:val="00FD2440"/>
    <w:rsid w:val="00FE1CBF"/>
    <w:rsid w:val="00FE65E0"/>
    <w:rsid w:val="00FF7E66"/>
    <w:rsid w:val="029E8974"/>
    <w:rsid w:val="02D30DC9"/>
    <w:rsid w:val="036AE620"/>
    <w:rsid w:val="03D1638D"/>
    <w:rsid w:val="042FE2CB"/>
    <w:rsid w:val="0636B8D5"/>
    <w:rsid w:val="0638BCE8"/>
    <w:rsid w:val="066E8A85"/>
    <w:rsid w:val="073B2CE4"/>
    <w:rsid w:val="077E87CC"/>
    <w:rsid w:val="078AAEFC"/>
    <w:rsid w:val="07B3D741"/>
    <w:rsid w:val="07C31806"/>
    <w:rsid w:val="082837F3"/>
    <w:rsid w:val="087C6A5D"/>
    <w:rsid w:val="08B7E121"/>
    <w:rsid w:val="098125E3"/>
    <w:rsid w:val="0A016F6E"/>
    <w:rsid w:val="0A619A0A"/>
    <w:rsid w:val="0A8A2C34"/>
    <w:rsid w:val="0BF7A7D1"/>
    <w:rsid w:val="0CF9034D"/>
    <w:rsid w:val="0E10D601"/>
    <w:rsid w:val="0E46FD3D"/>
    <w:rsid w:val="0E91D64C"/>
    <w:rsid w:val="0FEC3C36"/>
    <w:rsid w:val="108C3BDF"/>
    <w:rsid w:val="110ED226"/>
    <w:rsid w:val="123C5EAE"/>
    <w:rsid w:val="127EB2C8"/>
    <w:rsid w:val="12D39EFE"/>
    <w:rsid w:val="13B7F6D3"/>
    <w:rsid w:val="15455480"/>
    <w:rsid w:val="15C4B828"/>
    <w:rsid w:val="15D095D7"/>
    <w:rsid w:val="168B65CC"/>
    <w:rsid w:val="168F3414"/>
    <w:rsid w:val="169BD383"/>
    <w:rsid w:val="17E60573"/>
    <w:rsid w:val="1D1E68D0"/>
    <w:rsid w:val="1D97B913"/>
    <w:rsid w:val="1E42D4A2"/>
    <w:rsid w:val="1E56AEB9"/>
    <w:rsid w:val="1EB6A4B0"/>
    <w:rsid w:val="1F018CA3"/>
    <w:rsid w:val="1F4E8467"/>
    <w:rsid w:val="209A2534"/>
    <w:rsid w:val="222489A0"/>
    <w:rsid w:val="226DAFBD"/>
    <w:rsid w:val="22B99818"/>
    <w:rsid w:val="22C46A8E"/>
    <w:rsid w:val="23217683"/>
    <w:rsid w:val="2339CCCE"/>
    <w:rsid w:val="2494E7D2"/>
    <w:rsid w:val="24E54DF6"/>
    <w:rsid w:val="25A540BF"/>
    <w:rsid w:val="2634A21B"/>
    <w:rsid w:val="267306C9"/>
    <w:rsid w:val="2747E56D"/>
    <w:rsid w:val="297370FA"/>
    <w:rsid w:val="29B27BC4"/>
    <w:rsid w:val="2A3F6F3A"/>
    <w:rsid w:val="2A423525"/>
    <w:rsid w:val="2A442B6A"/>
    <w:rsid w:val="2B5C4F7C"/>
    <w:rsid w:val="2C5C64D1"/>
    <w:rsid w:val="2E21489A"/>
    <w:rsid w:val="2E69CC38"/>
    <w:rsid w:val="2FBE80DA"/>
    <w:rsid w:val="306922B2"/>
    <w:rsid w:val="33F675A5"/>
    <w:rsid w:val="3475CA6E"/>
    <w:rsid w:val="34F0F1C2"/>
    <w:rsid w:val="35175E75"/>
    <w:rsid w:val="35658D34"/>
    <w:rsid w:val="35A1F33E"/>
    <w:rsid w:val="362D585E"/>
    <w:rsid w:val="363FE83E"/>
    <w:rsid w:val="364CE03A"/>
    <w:rsid w:val="3704048E"/>
    <w:rsid w:val="38BB084C"/>
    <w:rsid w:val="38C76C0F"/>
    <w:rsid w:val="38D5B242"/>
    <w:rsid w:val="39F67160"/>
    <w:rsid w:val="3A08A15A"/>
    <w:rsid w:val="3B090821"/>
    <w:rsid w:val="3BA3948F"/>
    <w:rsid w:val="3BD95297"/>
    <w:rsid w:val="3C4ADA34"/>
    <w:rsid w:val="3C5429F7"/>
    <w:rsid w:val="3C97914F"/>
    <w:rsid w:val="3D61401E"/>
    <w:rsid w:val="3DC2FD29"/>
    <w:rsid w:val="3E1D1E9B"/>
    <w:rsid w:val="3F1C3C05"/>
    <w:rsid w:val="3F240C68"/>
    <w:rsid w:val="3F8ACAFD"/>
    <w:rsid w:val="3F99BAA4"/>
    <w:rsid w:val="4060E82C"/>
    <w:rsid w:val="40D07D96"/>
    <w:rsid w:val="412D79A0"/>
    <w:rsid w:val="4148330F"/>
    <w:rsid w:val="41A08680"/>
    <w:rsid w:val="42373AB2"/>
    <w:rsid w:val="423BA01B"/>
    <w:rsid w:val="424DE1EA"/>
    <w:rsid w:val="42947E98"/>
    <w:rsid w:val="437F5B01"/>
    <w:rsid w:val="4404A33C"/>
    <w:rsid w:val="4459E1F6"/>
    <w:rsid w:val="44DB3600"/>
    <w:rsid w:val="4524824F"/>
    <w:rsid w:val="45EF7AB3"/>
    <w:rsid w:val="46278D3A"/>
    <w:rsid w:val="46D4CE3D"/>
    <w:rsid w:val="47A5F539"/>
    <w:rsid w:val="487F48AB"/>
    <w:rsid w:val="4897EE20"/>
    <w:rsid w:val="48C63263"/>
    <w:rsid w:val="49B0044D"/>
    <w:rsid w:val="49FD994F"/>
    <w:rsid w:val="4A086096"/>
    <w:rsid w:val="4A757116"/>
    <w:rsid w:val="4A771E7D"/>
    <w:rsid w:val="4A784D6D"/>
    <w:rsid w:val="4BA00B50"/>
    <w:rsid w:val="4C71B946"/>
    <w:rsid w:val="4C858954"/>
    <w:rsid w:val="4CE8AC3E"/>
    <w:rsid w:val="4D9C3FD6"/>
    <w:rsid w:val="4FBC311B"/>
    <w:rsid w:val="50120DE8"/>
    <w:rsid w:val="504C5AD6"/>
    <w:rsid w:val="514C3473"/>
    <w:rsid w:val="518131CF"/>
    <w:rsid w:val="51D27377"/>
    <w:rsid w:val="52D73C21"/>
    <w:rsid w:val="531DF5FA"/>
    <w:rsid w:val="533CEFB7"/>
    <w:rsid w:val="5341E546"/>
    <w:rsid w:val="5411410D"/>
    <w:rsid w:val="551639ED"/>
    <w:rsid w:val="55CAAF04"/>
    <w:rsid w:val="56B262BE"/>
    <w:rsid w:val="571EED3C"/>
    <w:rsid w:val="575DE6F1"/>
    <w:rsid w:val="57A5E6B8"/>
    <w:rsid w:val="57CB1F79"/>
    <w:rsid w:val="589C14AC"/>
    <w:rsid w:val="5988F899"/>
    <w:rsid w:val="5AFD5190"/>
    <w:rsid w:val="5B1A6D0E"/>
    <w:rsid w:val="5C41EF3B"/>
    <w:rsid w:val="5E9353FF"/>
    <w:rsid w:val="5ED5D3C8"/>
    <w:rsid w:val="5ED884C8"/>
    <w:rsid w:val="5F1CF743"/>
    <w:rsid w:val="5FC42F00"/>
    <w:rsid w:val="6000E101"/>
    <w:rsid w:val="620B24A3"/>
    <w:rsid w:val="6295A534"/>
    <w:rsid w:val="6304DDA7"/>
    <w:rsid w:val="63F5F31E"/>
    <w:rsid w:val="6447AF21"/>
    <w:rsid w:val="644F77C7"/>
    <w:rsid w:val="652913E2"/>
    <w:rsid w:val="65B971DC"/>
    <w:rsid w:val="664B29F5"/>
    <w:rsid w:val="667DBE97"/>
    <w:rsid w:val="681579BF"/>
    <w:rsid w:val="6877D123"/>
    <w:rsid w:val="698B6EFA"/>
    <w:rsid w:val="69AD26AE"/>
    <w:rsid w:val="69C4B4DD"/>
    <w:rsid w:val="69C84259"/>
    <w:rsid w:val="6A5FF075"/>
    <w:rsid w:val="6ABF56C2"/>
    <w:rsid w:val="6B102A3F"/>
    <w:rsid w:val="6B1C941F"/>
    <w:rsid w:val="6B238A25"/>
    <w:rsid w:val="6CEF52E9"/>
    <w:rsid w:val="6D986DC8"/>
    <w:rsid w:val="6F5A786A"/>
    <w:rsid w:val="700A0BE7"/>
    <w:rsid w:val="7044D80C"/>
    <w:rsid w:val="715E5123"/>
    <w:rsid w:val="738B597A"/>
    <w:rsid w:val="73AB3DEC"/>
    <w:rsid w:val="73D9079F"/>
    <w:rsid w:val="7471DCBB"/>
    <w:rsid w:val="7473E6C3"/>
    <w:rsid w:val="752CD073"/>
    <w:rsid w:val="7533E52F"/>
    <w:rsid w:val="76641C3B"/>
    <w:rsid w:val="76B0BB4B"/>
    <w:rsid w:val="775FEF4E"/>
    <w:rsid w:val="77DA1549"/>
    <w:rsid w:val="7854BDEB"/>
    <w:rsid w:val="78BDB74F"/>
    <w:rsid w:val="79AA7C21"/>
    <w:rsid w:val="7AA4D37B"/>
    <w:rsid w:val="7AD3D86B"/>
    <w:rsid w:val="7B0A7AE6"/>
    <w:rsid w:val="7B305812"/>
    <w:rsid w:val="7C695640"/>
    <w:rsid w:val="7CEEFF8E"/>
    <w:rsid w:val="7DE7943E"/>
    <w:rsid w:val="7E0E4108"/>
    <w:rsid w:val="7E1D77CA"/>
    <w:rsid w:val="7E33A81B"/>
    <w:rsid w:val="7E9D8C22"/>
    <w:rsid w:val="7ED0DA91"/>
    <w:rsid w:val="7EF68B64"/>
    <w:rsid w:val="7F337F86"/>
    <w:rsid w:val="7F6B9C82"/>
    <w:rsid w:val="7FE86BBF"/>
    <w:rsid w:val="7FF0A4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32"/>
    <w:rPr>
      <w:rFonts w:ascii="Tahoma" w:hAnsi="Tahoma" w:cs="Tahoma"/>
      <w:sz w:val="16"/>
      <w:szCs w:val="16"/>
    </w:rPr>
  </w:style>
  <w:style w:type="character" w:styleId="Hyperlink">
    <w:name w:val="Hyperlink"/>
    <w:basedOn w:val="DefaultParagraphFont"/>
    <w:uiPriority w:val="99"/>
    <w:unhideWhenUsed/>
    <w:rsid w:val="00F41B32"/>
    <w:rPr>
      <w:color w:val="0000FF" w:themeColor="hyperlink"/>
      <w:u w:val="single"/>
    </w:rPr>
  </w:style>
  <w:style w:type="paragraph" w:styleId="ListParagraph">
    <w:name w:val="List Paragraph"/>
    <w:basedOn w:val="Normal"/>
    <w:uiPriority w:val="34"/>
    <w:qFormat/>
    <w:rsid w:val="00F41B32"/>
    <w:pPr>
      <w:ind w:left="720"/>
      <w:contextualSpacing/>
    </w:pPr>
  </w:style>
  <w:style w:type="table" w:styleId="TableGrid">
    <w:name w:val="Table Grid"/>
    <w:basedOn w:val="TableNormal"/>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7E"/>
    <w:rPr>
      <w:sz w:val="20"/>
      <w:szCs w:val="20"/>
    </w:rPr>
  </w:style>
  <w:style w:type="character" w:styleId="FootnoteReference">
    <w:name w:val="footnote reference"/>
    <w:basedOn w:val="DefaultParagraphFont"/>
    <w:uiPriority w:val="99"/>
    <w:semiHidden/>
    <w:unhideWhenUsed/>
    <w:rsid w:val="0043397E"/>
    <w:rPr>
      <w:vertAlign w:val="superscript"/>
    </w:rPr>
  </w:style>
  <w:style w:type="paragraph" w:styleId="Header">
    <w:name w:val="header"/>
    <w:basedOn w:val="Normal"/>
    <w:link w:val="HeaderChar"/>
    <w:uiPriority w:val="99"/>
    <w:unhideWhenUsed/>
    <w:rsid w:val="00DE7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0D"/>
  </w:style>
  <w:style w:type="paragraph" w:styleId="Footer">
    <w:name w:val="footer"/>
    <w:basedOn w:val="Normal"/>
    <w:link w:val="FooterChar"/>
    <w:uiPriority w:val="99"/>
    <w:unhideWhenUsed/>
    <w:rsid w:val="00DE7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0D"/>
  </w:style>
  <w:style w:type="character" w:styleId="PlaceholderText">
    <w:name w:val="Placeholder Text"/>
    <w:basedOn w:val="DefaultParagraphFont"/>
    <w:uiPriority w:val="99"/>
    <w:semiHidden/>
    <w:rsid w:val="006E1894"/>
    <w:rPr>
      <w:color w:val="808080"/>
    </w:rPr>
  </w:style>
  <w:style w:type="paragraph" w:styleId="z-TopofForm">
    <w:name w:val="HTML Top of Form"/>
    <w:basedOn w:val="Normal"/>
    <w:next w:val="Normal"/>
    <w:link w:val="z-TopofFormCh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2E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2E87"/>
    <w:rPr>
      <w:rFonts w:ascii="Arial" w:hAnsi="Arial" w:cs="Arial"/>
      <w:vanish/>
      <w:sz w:val="16"/>
      <w:szCs w:val="16"/>
    </w:rPr>
  </w:style>
  <w:style w:type="character" w:styleId="UnresolvedMention">
    <w:name w:val="Unresolved Mention"/>
    <w:basedOn w:val="DefaultParagraphFont"/>
    <w:uiPriority w:val="99"/>
    <w:semiHidden/>
    <w:unhideWhenUsed/>
    <w:rsid w:val="00E02E87"/>
    <w:rPr>
      <w:color w:val="605E5C"/>
      <w:shd w:val="clear" w:color="auto" w:fill="E1DFDD"/>
    </w:rPr>
  </w:style>
  <w:style w:type="character" w:styleId="CommentReference">
    <w:name w:val="annotation reference"/>
    <w:basedOn w:val="DefaultParagraphFont"/>
    <w:uiPriority w:val="99"/>
    <w:semiHidden/>
    <w:unhideWhenUsed/>
    <w:rsid w:val="00502848"/>
    <w:rPr>
      <w:sz w:val="16"/>
      <w:szCs w:val="16"/>
    </w:rPr>
  </w:style>
  <w:style w:type="paragraph" w:styleId="CommentText">
    <w:name w:val="annotation text"/>
    <w:basedOn w:val="Normal"/>
    <w:link w:val="CommentTextChar"/>
    <w:uiPriority w:val="99"/>
    <w:semiHidden/>
    <w:unhideWhenUsed/>
    <w:rsid w:val="00502848"/>
    <w:pPr>
      <w:spacing w:line="240" w:lineRule="auto"/>
    </w:pPr>
    <w:rPr>
      <w:sz w:val="20"/>
      <w:szCs w:val="20"/>
    </w:rPr>
  </w:style>
  <w:style w:type="character" w:customStyle="1" w:styleId="CommentTextChar">
    <w:name w:val="Comment Text Char"/>
    <w:basedOn w:val="DefaultParagraphFont"/>
    <w:link w:val="CommentText"/>
    <w:uiPriority w:val="99"/>
    <w:semiHidden/>
    <w:rsid w:val="00502848"/>
    <w:rPr>
      <w:sz w:val="20"/>
      <w:szCs w:val="20"/>
    </w:rPr>
  </w:style>
  <w:style w:type="paragraph" w:styleId="CommentSubject">
    <w:name w:val="annotation subject"/>
    <w:basedOn w:val="CommentText"/>
    <w:next w:val="CommentText"/>
    <w:link w:val="CommentSubjectChar"/>
    <w:uiPriority w:val="99"/>
    <w:semiHidden/>
    <w:unhideWhenUsed/>
    <w:rsid w:val="00502848"/>
    <w:rPr>
      <w:b/>
      <w:bCs/>
    </w:rPr>
  </w:style>
  <w:style w:type="character" w:customStyle="1" w:styleId="CommentSubjectChar">
    <w:name w:val="Comment Subject Char"/>
    <w:basedOn w:val="CommentTextChar"/>
    <w:link w:val="CommentSubject"/>
    <w:uiPriority w:val="99"/>
    <w:semiHidden/>
    <w:rsid w:val="00502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947819">
      <w:bodyDiv w:val="1"/>
      <w:marLeft w:val="0"/>
      <w:marRight w:val="0"/>
      <w:marTop w:val="0"/>
      <w:marBottom w:val="0"/>
      <w:divBdr>
        <w:top w:val="none" w:sz="0" w:space="0" w:color="auto"/>
        <w:left w:val="none" w:sz="0" w:space="0" w:color="auto"/>
        <w:bottom w:val="none" w:sz="0" w:space="0" w:color="auto"/>
        <w:right w:val="none" w:sz="0" w:space="0" w:color="auto"/>
      </w:divBdr>
    </w:div>
    <w:div w:id="556279811">
      <w:bodyDiv w:val="1"/>
      <w:marLeft w:val="0"/>
      <w:marRight w:val="0"/>
      <w:marTop w:val="0"/>
      <w:marBottom w:val="0"/>
      <w:divBdr>
        <w:top w:val="none" w:sz="0" w:space="0" w:color="auto"/>
        <w:left w:val="none" w:sz="0" w:space="0" w:color="auto"/>
        <w:bottom w:val="none" w:sz="0" w:space="0" w:color="auto"/>
        <w:right w:val="none" w:sz="0" w:space="0" w:color="auto"/>
      </w:divBdr>
    </w:div>
    <w:div w:id="781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mmissioner.ipc@ipc.on.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5" Type="http://schemas.openxmlformats.org/officeDocument/2006/relationships/numbering" Target="numbering.xml"/><Relationship Id="rId15" Type="http://schemas.openxmlformats.org/officeDocument/2006/relationships/hyperlink" Target="https://www.ipc.on.ca/en/about-us/trust-in-digital-healt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c.on.ca/en/resources/privacy-management-handbook-for-small-health-care-organiza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8207A-8979-4CDC-843A-9E128D2D7019}">
  <ds:schemaRefs>
    <ds:schemaRef ds:uri="http://schemas.openxmlformats.org/officeDocument/2006/bibliography"/>
  </ds:schemaRefs>
</ds:datastoreItem>
</file>

<file path=customXml/itemProps2.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3.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D8407-0EAE-4293-A21F-C67F937019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e08da3e-170f-4658-8e7e-c8ed521eede9}" enabled="0" method="" siteId="{ee08da3e-170f-4658-8e7e-c8ed521eede9}"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5542</Characters>
  <Application>Microsoft Office Word</Application>
  <DocSecurity>0</DocSecurity>
  <Lines>163</Lines>
  <Paragraphs>70</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Sandra Silva</cp:lastModifiedBy>
  <cp:revision>30</cp:revision>
  <dcterms:created xsi:type="dcterms:W3CDTF">2025-06-06T16:32:00Z</dcterms:created>
  <dcterms:modified xsi:type="dcterms:W3CDTF">2025-06-30T17:39:00Z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