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812F46">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vAlign w:val="bottom"/>
          </w:tcPr>
          <w:p w14:paraId="1F289219" w14:textId="08F9A1D7" w:rsidR="00DD6623" w:rsidRPr="00DD6623" w:rsidRDefault="00812F46" w:rsidP="00DD6623">
            <w:pPr>
              <w:rPr>
                <w:rFonts w:ascii="Calibri" w:eastAsia="Calibri" w:hAnsi="Calibri" w:cs="Times New Roman"/>
                <w:sz w:val="24"/>
                <w:szCs w:val="24"/>
              </w:rPr>
            </w:pPr>
            <w:r>
              <w:rPr>
                <w:rFonts w:ascii="Calibri" w:eastAsia="Calibri" w:hAnsi="Calibri" w:cs="Times New Roman"/>
                <w:sz w:val="24"/>
                <w:szCs w:val="24"/>
              </w:rPr>
              <w:t>Information and Privacy Commissioner of Ontario (IPC)</w:t>
            </w:r>
          </w:p>
        </w:tc>
      </w:tr>
      <w:tr w:rsidR="00DD6623" w:rsidRPr="00DD6623" w14:paraId="07BC78E5" w14:textId="77777777" w:rsidTr="00812F46">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vAlign w:val="bottom"/>
          </w:tcPr>
          <w:p w14:paraId="4145162E" w14:textId="7FE41932" w:rsidR="00DD6623" w:rsidRPr="00DD6623" w:rsidRDefault="004869CE" w:rsidP="00DD6623">
            <w:pPr>
              <w:rPr>
                <w:rFonts w:ascii="Calibri" w:eastAsia="Calibri" w:hAnsi="Calibri" w:cs="Times New Roman"/>
                <w:sz w:val="24"/>
                <w:szCs w:val="24"/>
              </w:rPr>
            </w:pPr>
            <w:r>
              <w:rPr>
                <w:rFonts w:ascii="Calibri" w:eastAsia="Calibri" w:hAnsi="Calibri" w:cs="Times New Roman"/>
                <w:sz w:val="24"/>
                <w:szCs w:val="24"/>
              </w:rPr>
              <w:t>Patricia</w:t>
            </w:r>
          </w:p>
        </w:tc>
        <w:tc>
          <w:tcPr>
            <w:tcW w:w="3006" w:type="dxa"/>
            <w:tcBorders>
              <w:left w:val="nil"/>
              <w:bottom w:val="single" w:sz="4" w:space="0" w:color="auto"/>
              <w:right w:val="nil"/>
            </w:tcBorders>
            <w:vAlign w:val="bottom"/>
          </w:tcPr>
          <w:p w14:paraId="1270AD7E" w14:textId="2F3A26D8" w:rsidR="00DD6623" w:rsidRPr="00DD6623" w:rsidRDefault="004869CE" w:rsidP="00DD6623">
            <w:pPr>
              <w:rPr>
                <w:rFonts w:ascii="Calibri" w:eastAsia="Calibri" w:hAnsi="Calibri" w:cs="Times New Roman"/>
                <w:sz w:val="24"/>
                <w:szCs w:val="24"/>
              </w:rPr>
            </w:pPr>
            <w:r>
              <w:rPr>
                <w:rFonts w:ascii="Calibri" w:eastAsia="Calibri" w:hAnsi="Calibri" w:cs="Times New Roman"/>
                <w:sz w:val="24"/>
                <w:szCs w:val="24"/>
              </w:rPr>
              <w:t>Kosseim</w:t>
            </w:r>
          </w:p>
        </w:tc>
      </w:tr>
      <w:tr w:rsidR="00DD6623" w:rsidRPr="00DD6623" w14:paraId="56BD8758" w14:textId="77777777">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000610EE">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vAlign w:val="bottom"/>
          </w:tcPr>
          <w:p w14:paraId="3465E3FD" w14:textId="398618B4" w:rsidR="0082183A" w:rsidRPr="00DD6623" w:rsidRDefault="004869CE" w:rsidP="00DD6623">
            <w:pPr>
              <w:rPr>
                <w:rFonts w:ascii="Calibri" w:eastAsia="Calibri" w:hAnsi="Calibri" w:cs="Times New Roman"/>
                <w:sz w:val="24"/>
                <w:szCs w:val="24"/>
              </w:rPr>
            </w:pPr>
            <w:r>
              <w:rPr>
                <w:rFonts w:ascii="Calibri" w:eastAsia="Calibri" w:hAnsi="Calibri" w:cs="Times New Roman"/>
                <w:sz w:val="24"/>
                <w:szCs w:val="24"/>
              </w:rPr>
              <w:t>Commissioner</w:t>
            </w:r>
          </w:p>
        </w:tc>
      </w:tr>
      <w:tr w:rsidR="00DD6623" w:rsidRPr="00DD6623" w14:paraId="251CE3BD" w14:textId="77777777" w:rsidTr="004F1954">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vAlign w:val="bottom"/>
          </w:tcPr>
          <w:p w14:paraId="1390626E" w14:textId="0037F311" w:rsidR="00DD6623" w:rsidRPr="00DD6623" w:rsidRDefault="000B4651" w:rsidP="00DD6623">
            <w:pPr>
              <w:rPr>
                <w:rFonts w:ascii="Calibri" w:eastAsia="Calibri" w:hAnsi="Calibri" w:cs="Times New Roman"/>
                <w:sz w:val="24"/>
                <w:szCs w:val="24"/>
              </w:rPr>
            </w:pPr>
            <w:hyperlink r:id="rId12" w:history="1">
              <w:r w:rsidRPr="000F55E5">
                <w:rPr>
                  <w:rStyle w:val="Hyperlink"/>
                  <w:rFonts w:ascii="Calibri" w:eastAsia="Calibri" w:hAnsi="Calibri" w:cs="Times New Roman"/>
                  <w:sz w:val="24"/>
                  <w:szCs w:val="24"/>
                </w:rPr>
                <w:t>commissioner.ipc@ipc.on.ca</w:t>
              </w:r>
            </w:hyperlink>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57F12A79" w14:textId="3BF95464" w:rsidR="00DD6623" w:rsidRPr="00DD6623" w:rsidRDefault="004F1954"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2C874554" w14:textId="6859BC38" w:rsidR="00DD6623" w:rsidRPr="00DD6623" w:rsidRDefault="004F1954"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77948D8F" w14:textId="0D1A4969" w:rsidR="00DD6623" w:rsidRPr="00DD6623" w:rsidRDefault="004F1954"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42244AC7">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42244AC7">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42244AC7">
        <w:sdt>
          <w:sdtPr>
            <w:rPr>
              <w:rFonts w:ascii="Calibri" w:eastAsia="Calibri" w:hAnsi="Calibri" w:cs="Times New Roman"/>
              <w:sz w:val="24"/>
              <w:szCs w:val="24"/>
            </w:rPr>
            <w:id w:val="1934468849"/>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C020621"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42244AC7">
        <w:sdt>
          <w:sdtPr>
            <w:rPr>
              <w:rFonts w:ascii="Calibri" w:eastAsia="Calibri" w:hAnsi="Calibri" w:cs="Times New Roman"/>
              <w:sz w:val="24"/>
              <w:szCs w:val="24"/>
            </w:rPr>
            <w:id w:val="-450475627"/>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0EA7DA18" w14:textId="124D3417" w:rsidR="00DD6623" w:rsidRPr="00DD6623" w:rsidRDefault="00D57899"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42244AC7">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42244AC7">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42244AC7">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666E80E" w:rsidR="00DD6623" w:rsidRPr="00DD6623" w:rsidRDefault="00DD6623" w:rsidP="00EC7448">
            <w:pPr>
              <w:contextualSpacing/>
              <w:rPr>
                <w:rFonts w:ascii="Calibri" w:eastAsia="Calibri" w:hAnsi="Calibri" w:cs="Times New Roman"/>
                <w:sz w:val="24"/>
                <w:szCs w:val="24"/>
              </w:rPr>
            </w:pPr>
            <w:r w:rsidRPr="42244AC7">
              <w:rPr>
                <w:rFonts w:ascii="Calibri" w:eastAsia="Calibri" w:hAnsi="Calibri" w:cs="Times New Roman"/>
                <w:sz w:val="24"/>
                <w:szCs w:val="24"/>
              </w:rPr>
              <w:t>People’s Choice</w:t>
            </w:r>
          </w:p>
        </w:tc>
      </w:tr>
      <w:tr w:rsidR="00DD6623" w:rsidRPr="00DD6623" w14:paraId="2E7A6B83" w14:textId="77777777" w:rsidTr="42244AC7">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7CD26D39">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7CD26D39">
        <w:tc>
          <w:tcPr>
            <w:tcW w:w="9016" w:type="dxa"/>
            <w:tcBorders>
              <w:left w:val="single" w:sz="4" w:space="0" w:color="auto"/>
              <w:right w:val="single" w:sz="4" w:space="0" w:color="auto"/>
            </w:tcBorders>
          </w:tcPr>
          <w:p w14:paraId="4217F53A" w14:textId="4EBD2031" w:rsidR="00DD6623" w:rsidRPr="007F6577" w:rsidRDefault="22EE7CEF" w:rsidP="7CD26D39">
            <w:pPr>
              <w:spacing w:after="160"/>
              <w:ind w:left="70"/>
              <w:rPr>
                <w:rFonts w:eastAsia="Calibri"/>
                <w:i/>
                <w:iCs/>
                <w:sz w:val="24"/>
                <w:szCs w:val="24"/>
              </w:rPr>
            </w:pPr>
            <w:r w:rsidRPr="42244AC7">
              <w:rPr>
                <w:rFonts w:eastAsia="Aptos"/>
                <w:kern w:val="2"/>
                <w:sz w:val="24"/>
                <w:szCs w:val="24"/>
                <w:lang w:val="en-US"/>
                <w14:ligatures w14:val="standardContextual"/>
              </w:rPr>
              <w:t xml:space="preserve">Public sector organizations increasingly rely on data processors to deliver services, but this reliance can present </w:t>
            </w:r>
            <w:r w:rsidR="73BA116C" w:rsidRPr="42244AC7">
              <w:rPr>
                <w:rFonts w:eastAsia="Aptos"/>
                <w:kern w:val="2"/>
                <w:sz w:val="24"/>
                <w:szCs w:val="24"/>
                <w:lang w:val="en-US"/>
                <w14:ligatures w14:val="standardContextual"/>
              </w:rPr>
              <w:t xml:space="preserve">privacy and </w:t>
            </w:r>
            <w:r w:rsidRPr="42244AC7">
              <w:rPr>
                <w:rFonts w:eastAsia="Aptos"/>
                <w:kern w:val="2"/>
                <w:sz w:val="24"/>
                <w:szCs w:val="24"/>
                <w:lang w:val="en-US"/>
                <w14:ligatures w14:val="standardContextual"/>
              </w:rPr>
              <w:t>security</w:t>
            </w:r>
            <w:r w:rsidR="615747D3" w:rsidRPr="42244AC7">
              <w:rPr>
                <w:rFonts w:eastAsia="Aptos"/>
                <w:kern w:val="2"/>
                <w:sz w:val="24"/>
                <w:szCs w:val="24"/>
                <w:lang w:val="en-US"/>
                <w14:ligatures w14:val="standardContextual"/>
              </w:rPr>
              <w:t xml:space="preserve"> </w:t>
            </w:r>
            <w:r w:rsidRPr="42244AC7">
              <w:rPr>
                <w:rFonts w:eastAsia="Aptos"/>
                <w:kern w:val="2"/>
                <w:sz w:val="24"/>
                <w:szCs w:val="24"/>
                <w:lang w:val="en-US"/>
                <w14:ligatures w14:val="standardContextual"/>
              </w:rPr>
              <w:t xml:space="preserve">concerns. In 2024, the IPC published guidance on </w:t>
            </w:r>
            <w:r w:rsidRPr="42244AC7">
              <w:rPr>
                <w:rFonts w:eastAsia="Aptos"/>
                <w:kern w:val="2"/>
                <w:sz w:val="24"/>
                <w:szCs w:val="24"/>
                <w:lang w:val="en-CA"/>
                <w14:ligatures w14:val="standardContextual"/>
              </w:rPr>
              <w:t xml:space="preserve">third-party contracting with practical advice to help organizations </w:t>
            </w:r>
            <w:r w:rsidR="22AD88B4" w:rsidRPr="42244AC7">
              <w:rPr>
                <w:rFonts w:eastAsia="Aptos"/>
                <w:kern w:val="2"/>
                <w:sz w:val="24"/>
                <w:szCs w:val="24"/>
                <w:lang w:val="en-CA"/>
                <w14:ligatures w14:val="standardContextual"/>
              </w:rPr>
              <w:t xml:space="preserve">build </w:t>
            </w:r>
            <w:r w:rsidRPr="42244AC7">
              <w:rPr>
                <w:rFonts w:eastAsia="Aptos"/>
                <w:kern w:val="2"/>
                <w:sz w:val="24"/>
                <w:szCs w:val="24"/>
                <w:lang w:val="en-CA"/>
                <w14:ligatures w14:val="standardContextual"/>
              </w:rPr>
              <w:t xml:space="preserve">privacy and </w:t>
            </w:r>
            <w:r w:rsidR="1161251C" w:rsidRPr="42244AC7">
              <w:rPr>
                <w:rFonts w:eastAsia="Aptos"/>
                <w:kern w:val="2"/>
                <w:sz w:val="24"/>
                <w:szCs w:val="24"/>
                <w:lang w:val="en-CA"/>
                <w14:ligatures w14:val="standardContextual"/>
              </w:rPr>
              <w:t>security into these arrangements</w:t>
            </w:r>
            <w:r w:rsidRPr="42244AC7">
              <w:rPr>
                <w:rFonts w:eastAsia="Aptos"/>
                <w:kern w:val="2"/>
                <w:sz w:val="24"/>
                <w:szCs w:val="24"/>
                <w:lang w:val="en-CA"/>
                <w14:ligatures w14:val="standardContextual"/>
              </w:rPr>
              <w:t>. It includes best practices and recommendations to support accountability for personal information throughout the</w:t>
            </w:r>
            <w:r w:rsidR="0701A122" w:rsidRPr="42244AC7">
              <w:rPr>
                <w:rFonts w:eastAsia="Aptos"/>
                <w:kern w:val="2"/>
                <w:sz w:val="24"/>
                <w:szCs w:val="24"/>
                <w:lang w:val="en-CA"/>
                <w14:ligatures w14:val="standardContextual"/>
              </w:rPr>
              <w:t xml:space="preserve"> entire</w:t>
            </w:r>
            <w:r w:rsidRPr="42244AC7">
              <w:rPr>
                <w:rFonts w:eastAsia="Aptos"/>
                <w:kern w:val="2"/>
                <w:sz w:val="24"/>
                <w:szCs w:val="24"/>
                <w:lang w:val="en-CA"/>
                <w14:ligatures w14:val="standardContextual"/>
              </w:rPr>
              <w:t xml:space="preserve"> procurement process</w:t>
            </w:r>
            <w:r w:rsidR="2B77DBFA" w:rsidRPr="42244AC7">
              <w:rPr>
                <w:rFonts w:eastAsia="Aptos"/>
                <w:kern w:val="2"/>
                <w:sz w:val="24"/>
                <w:szCs w:val="24"/>
                <w:lang w:val="en-CA"/>
                <w14:ligatures w14:val="standardContextual"/>
              </w:rPr>
              <w:t xml:space="preserve"> </w:t>
            </w:r>
            <w:r w:rsidR="06A369DC" w:rsidRPr="42244AC7">
              <w:rPr>
                <w:rFonts w:eastAsia="Aptos"/>
                <w:kern w:val="2"/>
                <w:sz w:val="24"/>
                <w:szCs w:val="24"/>
                <w:lang w:val="en-CA"/>
                <w14:ligatures w14:val="standardContextual"/>
              </w:rPr>
              <w:t xml:space="preserve">and </w:t>
            </w:r>
            <w:r w:rsidRPr="42244AC7">
              <w:rPr>
                <w:rFonts w:eastAsia="Aptos"/>
                <w:kern w:val="2"/>
                <w:sz w:val="24"/>
                <w:szCs w:val="24"/>
                <w:lang w:val="en-CA"/>
                <w14:ligatures w14:val="standardContextual"/>
              </w:rPr>
              <w:t xml:space="preserve">help drive stronger </w:t>
            </w:r>
            <w:r w:rsidR="4975E9AA" w:rsidRPr="42244AC7">
              <w:rPr>
                <w:rFonts w:eastAsia="Aptos"/>
                <w:kern w:val="2"/>
                <w:sz w:val="24"/>
                <w:szCs w:val="24"/>
                <w:lang w:val="en-CA"/>
                <w14:ligatures w14:val="standardContextual"/>
              </w:rPr>
              <w:t xml:space="preserve">privacy due diligence and </w:t>
            </w:r>
            <w:r w:rsidRPr="42244AC7">
              <w:rPr>
                <w:rFonts w:eastAsia="Aptos"/>
                <w:kern w:val="2"/>
                <w:sz w:val="24"/>
                <w:szCs w:val="24"/>
                <w:lang w:val="en-CA"/>
                <w14:ligatures w14:val="standardContextual"/>
              </w:rPr>
              <w:t>governance practices.</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7CD26D39">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7CD26D39">
        <w:tc>
          <w:tcPr>
            <w:tcW w:w="9016" w:type="dxa"/>
            <w:tcBorders>
              <w:left w:val="single" w:sz="4" w:space="0" w:color="auto"/>
              <w:right w:val="single" w:sz="4" w:space="0" w:color="auto"/>
            </w:tcBorders>
          </w:tcPr>
          <w:p w14:paraId="357BEB16" w14:textId="7F48ECA8" w:rsidR="007F6577" w:rsidRPr="007F6577" w:rsidRDefault="0DB7374C" w:rsidP="004F48F2">
            <w:pPr>
              <w:ind w:left="160"/>
              <w:rPr>
                <w:sz w:val="24"/>
                <w:szCs w:val="24"/>
              </w:rPr>
            </w:pPr>
            <w:r w:rsidRPr="7CD26D39">
              <w:rPr>
                <w:sz w:val="24"/>
                <w:szCs w:val="24"/>
              </w:rPr>
              <w:t>The IPC developed guidance for third-party contracting practices that addresses the privacy</w:t>
            </w:r>
            <w:r w:rsidR="2ED90BCE" w:rsidRPr="7CD26D39">
              <w:rPr>
                <w:sz w:val="24"/>
                <w:szCs w:val="24"/>
              </w:rPr>
              <w:t xml:space="preserve">, security and transparency </w:t>
            </w:r>
            <w:r w:rsidRPr="7CD26D39">
              <w:rPr>
                <w:sz w:val="24"/>
                <w:szCs w:val="24"/>
              </w:rPr>
              <w:t xml:space="preserve">concerns associated with outsourcing. We drew inspiration from past findings and decisions of our tribunal and consulted extensively across </w:t>
            </w:r>
            <w:r w:rsidR="3D2505E8" w:rsidRPr="7CD26D39">
              <w:rPr>
                <w:sz w:val="24"/>
                <w:szCs w:val="24"/>
              </w:rPr>
              <w:t xml:space="preserve">different </w:t>
            </w:r>
            <w:r w:rsidRPr="7CD26D39">
              <w:rPr>
                <w:sz w:val="24"/>
                <w:szCs w:val="24"/>
              </w:rPr>
              <w:t xml:space="preserve">sectors </w:t>
            </w:r>
            <w:r w:rsidR="1F790620" w:rsidRPr="7CD26D39">
              <w:rPr>
                <w:sz w:val="24"/>
                <w:szCs w:val="24"/>
              </w:rPr>
              <w:t>throughout</w:t>
            </w:r>
            <w:r w:rsidRPr="7CD26D39">
              <w:rPr>
                <w:sz w:val="24"/>
                <w:szCs w:val="24"/>
              </w:rPr>
              <w:t xml:space="preserve"> the province to get their practical input. </w:t>
            </w:r>
          </w:p>
          <w:p w14:paraId="06CB9E8A" w14:textId="07FB779D" w:rsidR="42244AC7" w:rsidRDefault="42244AC7" w:rsidP="42244AC7">
            <w:pPr>
              <w:ind w:left="160"/>
              <w:rPr>
                <w:sz w:val="24"/>
                <w:szCs w:val="24"/>
              </w:rPr>
            </w:pPr>
          </w:p>
          <w:p w14:paraId="378780F6" w14:textId="2EA4FA64" w:rsidR="007F6577" w:rsidRDefault="18CB85A5" w:rsidP="7CD26D39">
            <w:pPr>
              <w:ind w:left="160"/>
              <w:rPr>
                <w:sz w:val="24"/>
                <w:szCs w:val="24"/>
              </w:rPr>
            </w:pPr>
            <w:r w:rsidRPr="7CD26D39">
              <w:rPr>
                <w:sz w:val="24"/>
                <w:szCs w:val="24"/>
              </w:rPr>
              <w:t>Organizations can outsource data and services, but not accountability. We encourage o</w:t>
            </w:r>
            <w:r w:rsidR="0DB7374C" w:rsidRPr="7CD26D39">
              <w:rPr>
                <w:sz w:val="24"/>
                <w:szCs w:val="24"/>
              </w:rPr>
              <w:t xml:space="preserve">rganizations </w:t>
            </w:r>
            <w:r w:rsidR="4324E36A" w:rsidRPr="7CD26D39">
              <w:rPr>
                <w:sz w:val="24"/>
                <w:szCs w:val="24"/>
              </w:rPr>
              <w:t>to</w:t>
            </w:r>
            <w:r w:rsidR="0DB7374C" w:rsidRPr="7CD26D39">
              <w:rPr>
                <w:sz w:val="24"/>
                <w:szCs w:val="24"/>
              </w:rPr>
              <w:t xml:space="preserve"> use this guidance to better understand the privacy and acc</w:t>
            </w:r>
            <w:r w:rsidR="6F806AEF" w:rsidRPr="7CD26D39">
              <w:rPr>
                <w:sz w:val="24"/>
                <w:szCs w:val="24"/>
              </w:rPr>
              <w:t xml:space="preserve">ountability </w:t>
            </w:r>
            <w:r w:rsidR="0DB7374C" w:rsidRPr="7CD26D39">
              <w:rPr>
                <w:sz w:val="24"/>
                <w:szCs w:val="24"/>
              </w:rPr>
              <w:t xml:space="preserve">obligations that continue to rest with them, even when they contract out certain data processing functions. </w:t>
            </w:r>
          </w:p>
          <w:p w14:paraId="18CF99ED" w14:textId="19ACD9FF" w:rsidR="007F6577" w:rsidRDefault="007F6577" w:rsidP="7CD26D39">
            <w:pPr>
              <w:ind w:left="160"/>
              <w:rPr>
                <w:sz w:val="24"/>
                <w:szCs w:val="24"/>
              </w:rPr>
            </w:pPr>
          </w:p>
          <w:p w14:paraId="6DF67385" w14:textId="208846D9" w:rsidR="007F6577" w:rsidRDefault="0DB7374C" w:rsidP="004F48F2">
            <w:pPr>
              <w:ind w:left="160"/>
              <w:rPr>
                <w:sz w:val="24"/>
                <w:szCs w:val="24"/>
              </w:rPr>
            </w:pPr>
            <w:r w:rsidRPr="7CD26D39">
              <w:rPr>
                <w:sz w:val="24"/>
                <w:szCs w:val="24"/>
              </w:rPr>
              <w:t xml:space="preserve">The IPC’s guidance is intended to help organizations exercise due diligence and demonstrate the measures they have taken to ensure that privacy and </w:t>
            </w:r>
            <w:r w:rsidR="56ED016B" w:rsidRPr="7CD26D39">
              <w:rPr>
                <w:sz w:val="24"/>
                <w:szCs w:val="24"/>
              </w:rPr>
              <w:t>security</w:t>
            </w:r>
            <w:r w:rsidRPr="7CD26D39">
              <w:rPr>
                <w:sz w:val="24"/>
                <w:szCs w:val="24"/>
              </w:rPr>
              <w:t xml:space="preserve"> issues are addressed throughout the procurement process, from planning</w:t>
            </w:r>
            <w:r w:rsidR="13E1FF4E" w:rsidRPr="7CD26D39">
              <w:rPr>
                <w:sz w:val="24"/>
                <w:szCs w:val="24"/>
              </w:rPr>
              <w:t xml:space="preserve"> right up to and including agreement </w:t>
            </w:r>
            <w:r w:rsidRPr="7CD26D39">
              <w:rPr>
                <w:sz w:val="24"/>
                <w:szCs w:val="24"/>
              </w:rPr>
              <w:t xml:space="preserve">termination. </w:t>
            </w:r>
          </w:p>
          <w:p w14:paraId="6C142D06" w14:textId="77777777" w:rsidR="007F6577" w:rsidRPr="007F6577" w:rsidRDefault="007F6577" w:rsidP="004F48F2">
            <w:pPr>
              <w:ind w:left="160"/>
              <w:rPr>
                <w:sz w:val="24"/>
                <w:szCs w:val="24"/>
              </w:rPr>
            </w:pPr>
          </w:p>
          <w:p w14:paraId="22BABA64" w14:textId="3CA559DC" w:rsidR="007F6577" w:rsidRPr="007F6577" w:rsidRDefault="42E6FA80" w:rsidP="004F48F2">
            <w:pPr>
              <w:ind w:left="160"/>
              <w:rPr>
                <w:sz w:val="24"/>
                <w:szCs w:val="24"/>
              </w:rPr>
            </w:pPr>
            <w:r w:rsidRPr="7CD26D39">
              <w:rPr>
                <w:sz w:val="24"/>
                <w:szCs w:val="24"/>
              </w:rPr>
              <w:t>T</w:t>
            </w:r>
            <w:r w:rsidR="592DE1A6" w:rsidRPr="7CD26D39">
              <w:rPr>
                <w:sz w:val="24"/>
                <w:szCs w:val="24"/>
              </w:rPr>
              <w:t>he guidance document is organized according to five key stages of procurement:</w:t>
            </w:r>
          </w:p>
          <w:p w14:paraId="6CE0BC68" w14:textId="554EA97C" w:rsidR="7CD26D39" w:rsidRDefault="7CD26D39" w:rsidP="7CD26D39">
            <w:pPr>
              <w:ind w:left="160"/>
              <w:rPr>
                <w:sz w:val="24"/>
                <w:szCs w:val="24"/>
              </w:rPr>
            </w:pPr>
          </w:p>
          <w:p w14:paraId="708D5894" w14:textId="77777777" w:rsidR="007F6577" w:rsidRPr="007F6577" w:rsidRDefault="592DE1A6" w:rsidP="004F48F2">
            <w:pPr>
              <w:pStyle w:val="ListParagraph"/>
              <w:numPr>
                <w:ilvl w:val="0"/>
                <w:numId w:val="5"/>
              </w:numPr>
              <w:spacing w:after="160"/>
              <w:ind w:left="1060"/>
              <w:rPr>
                <w:sz w:val="24"/>
                <w:szCs w:val="24"/>
              </w:rPr>
            </w:pPr>
            <w:r w:rsidRPr="7CD26D39">
              <w:rPr>
                <w:sz w:val="24"/>
                <w:szCs w:val="24"/>
              </w:rPr>
              <w:t xml:space="preserve">Part 1: </w:t>
            </w:r>
            <w:r w:rsidRPr="7CD26D39">
              <w:rPr>
                <w:b/>
                <w:bCs/>
                <w:sz w:val="24"/>
                <w:szCs w:val="24"/>
              </w:rPr>
              <w:t>Procurement planning</w:t>
            </w:r>
            <w:r w:rsidRPr="7CD26D39">
              <w:rPr>
                <w:sz w:val="24"/>
                <w:szCs w:val="24"/>
              </w:rPr>
              <w:t xml:space="preserve"> outlines considerations when identifying and evaluating business needs and planning to engage a service provider.</w:t>
            </w:r>
          </w:p>
          <w:p w14:paraId="798C2631" w14:textId="77777777" w:rsidR="007F6577" w:rsidRPr="007F6577" w:rsidRDefault="007F6577" w:rsidP="004F48F2">
            <w:pPr>
              <w:pStyle w:val="ListParagraph"/>
              <w:numPr>
                <w:ilvl w:val="0"/>
                <w:numId w:val="5"/>
              </w:numPr>
              <w:spacing w:after="160"/>
              <w:ind w:left="1060"/>
              <w:rPr>
                <w:sz w:val="24"/>
                <w:szCs w:val="24"/>
              </w:rPr>
            </w:pPr>
            <w:r w:rsidRPr="007F6577">
              <w:rPr>
                <w:sz w:val="24"/>
                <w:szCs w:val="24"/>
              </w:rPr>
              <w:t xml:space="preserve">Part 2: </w:t>
            </w:r>
            <w:r w:rsidRPr="007F6577">
              <w:rPr>
                <w:b/>
                <w:bCs/>
                <w:sz w:val="24"/>
                <w:szCs w:val="24"/>
              </w:rPr>
              <w:t>Tendering</w:t>
            </w:r>
            <w:r w:rsidRPr="007F6577">
              <w:rPr>
                <w:sz w:val="24"/>
                <w:szCs w:val="24"/>
              </w:rPr>
              <w:t xml:space="preserve"> outlines considerations when developing or reviewing tendering documents, such as requests for proposals.</w:t>
            </w:r>
          </w:p>
          <w:p w14:paraId="10A20C88" w14:textId="77777777" w:rsidR="007F6577" w:rsidRPr="007F6577" w:rsidRDefault="007F6577" w:rsidP="004F48F2">
            <w:pPr>
              <w:pStyle w:val="ListParagraph"/>
              <w:numPr>
                <w:ilvl w:val="0"/>
                <w:numId w:val="5"/>
              </w:numPr>
              <w:spacing w:after="160"/>
              <w:ind w:left="1060"/>
              <w:rPr>
                <w:sz w:val="24"/>
                <w:szCs w:val="24"/>
              </w:rPr>
            </w:pPr>
            <w:r w:rsidRPr="007F6577">
              <w:rPr>
                <w:sz w:val="24"/>
                <w:szCs w:val="24"/>
              </w:rPr>
              <w:t xml:space="preserve">Part 3: </w:t>
            </w:r>
            <w:r w:rsidRPr="007F6577">
              <w:rPr>
                <w:b/>
                <w:bCs/>
                <w:sz w:val="24"/>
                <w:szCs w:val="24"/>
              </w:rPr>
              <w:t>Vendor selection</w:t>
            </w:r>
            <w:r w:rsidRPr="007F6577">
              <w:rPr>
                <w:sz w:val="24"/>
                <w:szCs w:val="24"/>
              </w:rPr>
              <w:t xml:space="preserve"> outlines considerations for access and privacy during the evaluation and award stages of the procurement process.</w:t>
            </w:r>
          </w:p>
          <w:p w14:paraId="33C77215" w14:textId="77777777" w:rsidR="007F6577" w:rsidRPr="007F6577" w:rsidRDefault="007F6577" w:rsidP="004F48F2">
            <w:pPr>
              <w:pStyle w:val="ListParagraph"/>
              <w:numPr>
                <w:ilvl w:val="0"/>
                <w:numId w:val="5"/>
              </w:numPr>
              <w:spacing w:after="160"/>
              <w:ind w:left="1060"/>
              <w:rPr>
                <w:sz w:val="24"/>
                <w:szCs w:val="24"/>
              </w:rPr>
            </w:pPr>
            <w:r w:rsidRPr="007F6577">
              <w:rPr>
                <w:sz w:val="24"/>
                <w:szCs w:val="24"/>
              </w:rPr>
              <w:t xml:space="preserve">Part 4: </w:t>
            </w:r>
            <w:r w:rsidRPr="007F6577">
              <w:rPr>
                <w:b/>
                <w:bCs/>
                <w:sz w:val="24"/>
                <w:szCs w:val="24"/>
              </w:rPr>
              <w:t>Agreement</w:t>
            </w:r>
            <w:r w:rsidRPr="007F6577">
              <w:rPr>
                <w:sz w:val="24"/>
                <w:szCs w:val="24"/>
              </w:rPr>
              <w:t xml:space="preserve"> outlines considerations when entering into an agreement with a service provider.</w:t>
            </w:r>
          </w:p>
          <w:p w14:paraId="05705DB5" w14:textId="77777777" w:rsidR="007F6577" w:rsidRPr="007F6577" w:rsidRDefault="592DE1A6" w:rsidP="004F48F2">
            <w:pPr>
              <w:pStyle w:val="ListParagraph"/>
              <w:numPr>
                <w:ilvl w:val="0"/>
                <w:numId w:val="5"/>
              </w:numPr>
              <w:spacing w:after="160"/>
              <w:ind w:left="1060"/>
              <w:rPr>
                <w:sz w:val="24"/>
                <w:szCs w:val="24"/>
              </w:rPr>
            </w:pPr>
            <w:r w:rsidRPr="7CD26D39">
              <w:rPr>
                <w:sz w:val="24"/>
                <w:szCs w:val="24"/>
              </w:rPr>
              <w:t xml:space="preserve">Part 5: </w:t>
            </w:r>
            <w:r w:rsidRPr="7CD26D39">
              <w:rPr>
                <w:b/>
                <w:bCs/>
                <w:sz w:val="24"/>
                <w:szCs w:val="24"/>
              </w:rPr>
              <w:t>Agreement management and termination</w:t>
            </w:r>
            <w:r w:rsidRPr="7CD26D39">
              <w:rPr>
                <w:sz w:val="24"/>
                <w:szCs w:val="24"/>
              </w:rPr>
              <w:t xml:space="preserve"> outlines considerations for the duration of an agreement related to its management, monitoring, enforcement and termination.</w:t>
            </w:r>
          </w:p>
          <w:p w14:paraId="160A118D" w14:textId="3EA83C59" w:rsidR="007F6577" w:rsidRPr="007F6577" w:rsidRDefault="2F29D8BF" w:rsidP="7CD26D39">
            <w:pPr>
              <w:ind w:left="160"/>
              <w:rPr>
                <w:sz w:val="24"/>
                <w:szCs w:val="24"/>
              </w:rPr>
            </w:pPr>
            <w:r w:rsidRPr="7CD26D39">
              <w:rPr>
                <w:sz w:val="24"/>
                <w:szCs w:val="24"/>
              </w:rPr>
              <w:t>This</w:t>
            </w:r>
            <w:r w:rsidR="592DE1A6" w:rsidRPr="7CD26D39">
              <w:rPr>
                <w:sz w:val="24"/>
                <w:szCs w:val="24"/>
              </w:rPr>
              <w:t xml:space="preserve"> third-party guidance supports our strategic priority of </w:t>
            </w:r>
            <w:hyperlink r:id="rId13">
              <w:r w:rsidR="592DE1A6" w:rsidRPr="7CD26D39">
                <w:rPr>
                  <w:rStyle w:val="Hyperlink"/>
                  <w:sz w:val="24"/>
                  <w:szCs w:val="24"/>
                </w:rPr>
                <w:t>Privacy and Transparency in Modern Government</w:t>
              </w:r>
            </w:hyperlink>
            <w:r w:rsidR="592DE1A6" w:rsidRPr="7CD26D39">
              <w:rPr>
                <w:sz w:val="24"/>
                <w:szCs w:val="24"/>
              </w:rPr>
              <w:t xml:space="preserve">. Our goal is to advance Ontarians’ privacy and access rights by working with public institutions to develop bedrock principles and comprehensive governance frameworks for the responsible and accountable deployment of digital technologies. </w:t>
            </w:r>
          </w:p>
          <w:p w14:paraId="442B30C0" w14:textId="100D27C3" w:rsidR="007F6577" w:rsidRPr="007F6577" w:rsidRDefault="007F6577" w:rsidP="7CD26D39">
            <w:pPr>
              <w:ind w:left="160"/>
              <w:rPr>
                <w:sz w:val="24"/>
                <w:szCs w:val="24"/>
              </w:rPr>
            </w:pPr>
          </w:p>
          <w:p w14:paraId="30087847" w14:textId="59251460" w:rsidR="007F6577" w:rsidRPr="007F6577" w:rsidRDefault="592DE1A6" w:rsidP="7CD26D39">
            <w:pPr>
              <w:ind w:left="160"/>
              <w:rPr>
                <w:sz w:val="24"/>
                <w:szCs w:val="24"/>
              </w:rPr>
            </w:pPr>
            <w:r w:rsidRPr="7CD26D39">
              <w:rPr>
                <w:sz w:val="24"/>
                <w:szCs w:val="24"/>
              </w:rPr>
              <w:t>Th</w:t>
            </w:r>
            <w:r w:rsidR="404C564E" w:rsidRPr="7CD26D39">
              <w:rPr>
                <w:sz w:val="24"/>
                <w:szCs w:val="24"/>
              </w:rPr>
              <w:t>is contracting</w:t>
            </w:r>
            <w:r w:rsidRPr="7CD26D39">
              <w:rPr>
                <w:sz w:val="24"/>
                <w:szCs w:val="24"/>
              </w:rPr>
              <w:t xml:space="preserve"> guidance helps organizations exercise due diligence and maintain accountability throughout the </w:t>
            </w:r>
            <w:r w:rsidR="46632115" w:rsidRPr="7CD26D39">
              <w:rPr>
                <w:sz w:val="24"/>
                <w:szCs w:val="24"/>
              </w:rPr>
              <w:t xml:space="preserve">entire </w:t>
            </w:r>
            <w:r w:rsidRPr="7CD26D39">
              <w:rPr>
                <w:sz w:val="24"/>
                <w:szCs w:val="24"/>
              </w:rPr>
              <w:t>procurement process</w:t>
            </w:r>
            <w:r w:rsidR="2E8B6E0C" w:rsidRPr="7CD26D39">
              <w:rPr>
                <w:sz w:val="24"/>
                <w:szCs w:val="24"/>
              </w:rPr>
              <w:t>. It</w:t>
            </w:r>
            <w:r w:rsidRPr="7CD26D39">
              <w:rPr>
                <w:sz w:val="24"/>
                <w:szCs w:val="24"/>
              </w:rPr>
              <w:t xml:space="preserve"> promot</w:t>
            </w:r>
            <w:r w:rsidR="2806B4AF" w:rsidRPr="7CD26D39">
              <w:rPr>
                <w:sz w:val="24"/>
                <w:szCs w:val="24"/>
              </w:rPr>
              <w:t>es</w:t>
            </w:r>
            <w:r w:rsidRPr="7CD26D39">
              <w:rPr>
                <w:sz w:val="24"/>
                <w:szCs w:val="24"/>
              </w:rPr>
              <w:t xml:space="preserve"> responsible and transparent deployment of digital technologies </w:t>
            </w:r>
            <w:r w:rsidR="2A053B23" w:rsidRPr="7CD26D39">
              <w:rPr>
                <w:sz w:val="24"/>
                <w:szCs w:val="24"/>
              </w:rPr>
              <w:t xml:space="preserve">by </w:t>
            </w:r>
            <w:r w:rsidRPr="7CD26D39">
              <w:rPr>
                <w:sz w:val="24"/>
                <w:szCs w:val="24"/>
              </w:rPr>
              <w:t>public sector</w:t>
            </w:r>
            <w:r w:rsidR="370D63F6" w:rsidRPr="7CD26D39">
              <w:rPr>
                <w:sz w:val="24"/>
                <w:szCs w:val="24"/>
              </w:rPr>
              <w:t xml:space="preserve"> institutions</w:t>
            </w:r>
            <w:r w:rsidR="60667D45" w:rsidRPr="7CD26D39">
              <w:rPr>
                <w:sz w:val="24"/>
                <w:szCs w:val="24"/>
              </w:rPr>
              <w:t xml:space="preserve">, even when </w:t>
            </w:r>
            <w:r w:rsidR="3F2D33A4" w:rsidRPr="7CD26D39">
              <w:rPr>
                <w:sz w:val="24"/>
                <w:szCs w:val="24"/>
              </w:rPr>
              <w:t xml:space="preserve">relying on </w:t>
            </w:r>
            <w:r w:rsidR="60667D45" w:rsidRPr="7CD26D39">
              <w:rPr>
                <w:sz w:val="24"/>
                <w:szCs w:val="24"/>
              </w:rPr>
              <w:t xml:space="preserve">private sector </w:t>
            </w:r>
            <w:r w:rsidR="712EE05B" w:rsidRPr="7CD26D39">
              <w:rPr>
                <w:sz w:val="24"/>
                <w:szCs w:val="24"/>
              </w:rPr>
              <w:t>partners to process personal information on their behalf.</w:t>
            </w:r>
          </w:p>
          <w:p w14:paraId="7268C712" w14:textId="0C3C1D33" w:rsidR="007F6577" w:rsidRPr="007F6577" w:rsidRDefault="007F6577" w:rsidP="7CD26D39">
            <w:pPr>
              <w:ind w:left="160"/>
              <w:rPr>
                <w:sz w:val="24"/>
                <w:szCs w:val="24"/>
              </w:rPr>
            </w:pPr>
          </w:p>
          <w:p w14:paraId="004E0343" w14:textId="63F37292" w:rsidR="007F6577" w:rsidRPr="007F6577" w:rsidRDefault="2C86FEEE" w:rsidP="004F48F2">
            <w:pPr>
              <w:ind w:left="160"/>
              <w:rPr>
                <w:sz w:val="24"/>
                <w:szCs w:val="24"/>
              </w:rPr>
            </w:pPr>
            <w:r w:rsidRPr="7CD26D39">
              <w:rPr>
                <w:sz w:val="24"/>
                <w:szCs w:val="24"/>
              </w:rPr>
              <w:t xml:space="preserve">While institutions may have all the </w:t>
            </w:r>
            <w:r w:rsidR="4DF5FFA2" w:rsidRPr="7CD26D39">
              <w:rPr>
                <w:sz w:val="24"/>
                <w:szCs w:val="24"/>
              </w:rPr>
              <w:t xml:space="preserve">right </w:t>
            </w:r>
            <w:r w:rsidRPr="7CD26D39">
              <w:rPr>
                <w:sz w:val="24"/>
                <w:szCs w:val="24"/>
              </w:rPr>
              <w:t xml:space="preserve">contractual provisions in place, </w:t>
            </w:r>
            <w:r w:rsidR="003E5D3B" w:rsidRPr="7CD26D39">
              <w:rPr>
                <w:sz w:val="24"/>
                <w:szCs w:val="24"/>
              </w:rPr>
              <w:t xml:space="preserve">without robust due diligence </w:t>
            </w:r>
            <w:r w:rsidR="3077FCD4" w:rsidRPr="7CD26D39">
              <w:rPr>
                <w:sz w:val="24"/>
                <w:szCs w:val="24"/>
              </w:rPr>
              <w:t xml:space="preserve">practices </w:t>
            </w:r>
            <w:r w:rsidR="003E5D3B" w:rsidRPr="7CD26D39">
              <w:rPr>
                <w:sz w:val="24"/>
                <w:szCs w:val="24"/>
              </w:rPr>
              <w:t>throughout the procurement process,</w:t>
            </w:r>
            <w:r w:rsidR="57B902AA" w:rsidRPr="7CD26D39">
              <w:rPr>
                <w:sz w:val="24"/>
                <w:szCs w:val="24"/>
              </w:rPr>
              <w:t xml:space="preserve"> they may overlook significant risks and fail to take necessary measures to mitigate them.</w:t>
            </w:r>
            <w:r w:rsidR="003E5D3B" w:rsidRPr="7CD26D39">
              <w:rPr>
                <w:sz w:val="24"/>
                <w:szCs w:val="24"/>
              </w:rPr>
              <w:t xml:space="preserve"> </w:t>
            </w:r>
            <w:r w:rsidRPr="7CD26D39">
              <w:rPr>
                <w:sz w:val="24"/>
                <w:szCs w:val="24"/>
              </w:rPr>
              <w:t xml:space="preserve"> </w:t>
            </w:r>
          </w:p>
          <w:p w14:paraId="10282A6C" w14:textId="77777777" w:rsidR="00DD6623" w:rsidRPr="00DD6623" w:rsidRDefault="00DD6623" w:rsidP="42244AC7">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74758699">
        <w:tc>
          <w:tcPr>
            <w:tcW w:w="9016" w:type="dxa"/>
            <w:tcBorders>
              <w:top w:val="nil"/>
              <w:left w:val="nil"/>
              <w:right w:val="nil"/>
            </w:tcBorders>
          </w:tcPr>
          <w:p w14:paraId="2192B49D" w14:textId="77777777" w:rsidR="00DD6623" w:rsidRPr="00DD6623" w:rsidRDefault="00DD6623" w:rsidP="7CD26D39">
            <w:pPr>
              <w:numPr>
                <w:ilvl w:val="0"/>
                <w:numId w:val="4"/>
              </w:numPr>
              <w:contextualSpacing/>
              <w:rPr>
                <w:rFonts w:eastAsiaTheme="minorEastAsia"/>
                <w:b/>
                <w:bCs/>
                <w:i/>
                <w:iCs/>
                <w:sz w:val="24"/>
                <w:szCs w:val="24"/>
              </w:rPr>
            </w:pPr>
            <w:r w:rsidRPr="7CD26D39">
              <w:rPr>
                <w:rFonts w:eastAsiaTheme="minorEastAsia"/>
                <w:b/>
                <w:bCs/>
                <w:sz w:val="24"/>
                <w:szCs w:val="24"/>
              </w:rPr>
              <w:t>Please explain why you think the initiative deserves to be recognised by an award</w:t>
            </w:r>
            <w:r w:rsidRPr="7CD26D39">
              <w:rPr>
                <w:rFonts w:eastAsiaTheme="minorEastAsia"/>
                <w:b/>
                <w:bCs/>
                <w:i/>
                <w:iCs/>
                <w:sz w:val="24"/>
                <w:szCs w:val="24"/>
              </w:rPr>
              <w:t xml:space="preserve"> </w:t>
            </w:r>
            <w:r w:rsidRPr="7CD26D39">
              <w:rPr>
                <w:rFonts w:eastAsiaTheme="minorEastAsia"/>
                <w:i/>
                <w:iCs/>
                <w:sz w:val="24"/>
                <w:szCs w:val="24"/>
              </w:rPr>
              <w:t>(no more than 200 words)</w:t>
            </w:r>
          </w:p>
        </w:tc>
      </w:tr>
      <w:tr w:rsidR="00DD6623" w:rsidRPr="00DD6623" w14:paraId="233BF3AD" w14:textId="77777777" w:rsidTr="74758699">
        <w:tc>
          <w:tcPr>
            <w:tcW w:w="9016" w:type="dxa"/>
            <w:tcBorders>
              <w:left w:val="single" w:sz="4" w:space="0" w:color="auto"/>
              <w:right w:val="single" w:sz="4" w:space="0" w:color="auto"/>
            </w:tcBorders>
          </w:tcPr>
          <w:p w14:paraId="378CF4A1" w14:textId="38DBA9FC" w:rsidR="00C4017C" w:rsidRDefault="76234AE0" w:rsidP="7CD26D39">
            <w:pPr>
              <w:ind w:left="160"/>
              <w:rPr>
                <w:rFonts w:eastAsiaTheme="minorEastAsia"/>
                <w:sz w:val="24"/>
                <w:szCs w:val="24"/>
              </w:rPr>
            </w:pPr>
            <w:r w:rsidRPr="7CD26D39">
              <w:rPr>
                <w:rFonts w:eastAsiaTheme="minorEastAsia"/>
                <w:sz w:val="24"/>
                <w:szCs w:val="24"/>
              </w:rPr>
              <w:t>M</w:t>
            </w:r>
            <w:r w:rsidR="232DD863" w:rsidRPr="7CD26D39">
              <w:rPr>
                <w:rFonts w:eastAsiaTheme="minorEastAsia"/>
                <w:sz w:val="24"/>
                <w:szCs w:val="24"/>
              </w:rPr>
              <w:t xml:space="preserve">any jurisdictions have contracting guidance and model service agreements, </w:t>
            </w:r>
            <w:r w:rsidR="2E92A239" w:rsidRPr="7CD26D39">
              <w:rPr>
                <w:rFonts w:eastAsiaTheme="minorEastAsia"/>
                <w:sz w:val="24"/>
                <w:szCs w:val="24"/>
              </w:rPr>
              <w:t xml:space="preserve">but </w:t>
            </w:r>
            <w:r w:rsidR="722E72ED" w:rsidRPr="7CD26D39">
              <w:rPr>
                <w:rFonts w:eastAsiaTheme="minorEastAsia"/>
                <w:sz w:val="24"/>
                <w:szCs w:val="24"/>
              </w:rPr>
              <w:t xml:space="preserve">contracts </w:t>
            </w:r>
            <w:r w:rsidR="16AB2F68" w:rsidRPr="7CD26D39">
              <w:rPr>
                <w:rFonts w:eastAsiaTheme="minorEastAsia"/>
                <w:sz w:val="24"/>
                <w:szCs w:val="24"/>
              </w:rPr>
              <w:t>are n</w:t>
            </w:r>
            <w:r w:rsidR="722E72ED" w:rsidRPr="7CD26D39">
              <w:rPr>
                <w:rFonts w:eastAsiaTheme="minorEastAsia"/>
                <w:sz w:val="24"/>
                <w:szCs w:val="24"/>
              </w:rPr>
              <w:t>o longer enough</w:t>
            </w:r>
            <w:r w:rsidR="29CBA2B4" w:rsidRPr="7CD26D39">
              <w:rPr>
                <w:rFonts w:eastAsiaTheme="minorEastAsia"/>
                <w:sz w:val="24"/>
                <w:szCs w:val="24"/>
              </w:rPr>
              <w:t>. O</w:t>
            </w:r>
            <w:r w:rsidR="722E72ED" w:rsidRPr="7CD26D39">
              <w:rPr>
                <w:rFonts w:eastAsiaTheme="minorEastAsia"/>
                <w:sz w:val="24"/>
                <w:szCs w:val="24"/>
              </w:rPr>
              <w:t xml:space="preserve">utsourcing must now be supported by </w:t>
            </w:r>
            <w:r w:rsidR="3FD16BF1" w:rsidRPr="7CD26D39">
              <w:rPr>
                <w:rFonts w:eastAsiaTheme="minorEastAsia"/>
                <w:sz w:val="24"/>
                <w:szCs w:val="24"/>
              </w:rPr>
              <w:t xml:space="preserve">robust </w:t>
            </w:r>
            <w:r w:rsidR="722E72ED" w:rsidRPr="7CD26D39">
              <w:rPr>
                <w:rFonts w:eastAsiaTheme="minorEastAsia"/>
                <w:sz w:val="24"/>
                <w:szCs w:val="24"/>
              </w:rPr>
              <w:t xml:space="preserve">due diligence and oversight practices to </w:t>
            </w:r>
            <w:r w:rsidR="46010E08" w:rsidRPr="7CD26D39">
              <w:rPr>
                <w:rFonts w:eastAsiaTheme="minorEastAsia"/>
                <w:sz w:val="24"/>
                <w:szCs w:val="24"/>
              </w:rPr>
              <w:t>uphold the highest standards of accountability</w:t>
            </w:r>
            <w:r w:rsidR="74687663" w:rsidRPr="7CD26D39">
              <w:rPr>
                <w:rFonts w:eastAsiaTheme="minorEastAsia"/>
                <w:sz w:val="24"/>
                <w:szCs w:val="24"/>
              </w:rPr>
              <w:t xml:space="preserve"> throughout the </w:t>
            </w:r>
            <w:r w:rsidR="21136776" w:rsidRPr="7CD26D39">
              <w:rPr>
                <w:rFonts w:eastAsiaTheme="minorEastAsia"/>
                <w:sz w:val="24"/>
                <w:szCs w:val="24"/>
              </w:rPr>
              <w:t xml:space="preserve">entire </w:t>
            </w:r>
            <w:r w:rsidR="74687663" w:rsidRPr="7CD26D39">
              <w:rPr>
                <w:rFonts w:eastAsiaTheme="minorEastAsia"/>
                <w:sz w:val="24"/>
                <w:szCs w:val="24"/>
              </w:rPr>
              <w:t>procurement</w:t>
            </w:r>
            <w:r w:rsidR="722E72ED" w:rsidRPr="7CD26D39">
              <w:rPr>
                <w:rFonts w:eastAsiaTheme="minorEastAsia"/>
                <w:sz w:val="24"/>
                <w:szCs w:val="24"/>
              </w:rPr>
              <w:t xml:space="preserve"> </w:t>
            </w:r>
            <w:r w:rsidR="32B00E29" w:rsidRPr="7CD26D39">
              <w:rPr>
                <w:rFonts w:eastAsiaTheme="minorEastAsia"/>
                <w:sz w:val="24"/>
                <w:szCs w:val="24"/>
              </w:rPr>
              <w:t>process.</w:t>
            </w:r>
          </w:p>
          <w:p w14:paraId="02AB0B55" w14:textId="77777777" w:rsidR="00287875" w:rsidRPr="00F00B74" w:rsidRDefault="00287875" w:rsidP="7CD26D39">
            <w:pPr>
              <w:ind w:left="160"/>
              <w:rPr>
                <w:rFonts w:eastAsiaTheme="minorEastAsia"/>
                <w:sz w:val="24"/>
                <w:szCs w:val="24"/>
              </w:rPr>
            </w:pPr>
          </w:p>
          <w:p w14:paraId="35918381" w14:textId="1E6175DA" w:rsidR="00C4017C" w:rsidRDefault="352F0D51" w:rsidP="74758699">
            <w:pPr>
              <w:ind w:left="160"/>
              <w:rPr>
                <w:rFonts w:eastAsiaTheme="minorEastAsia"/>
                <w:sz w:val="24"/>
                <w:szCs w:val="24"/>
              </w:rPr>
            </w:pPr>
            <w:r w:rsidRPr="74758699">
              <w:rPr>
                <w:rFonts w:eastAsiaTheme="minorEastAsia"/>
                <w:sz w:val="24"/>
                <w:szCs w:val="24"/>
                <w:u w:val="single"/>
              </w:rPr>
              <w:t>Timely</w:t>
            </w:r>
            <w:r w:rsidRPr="74758699">
              <w:rPr>
                <w:rFonts w:eastAsiaTheme="minorEastAsia"/>
                <w:sz w:val="24"/>
                <w:szCs w:val="24"/>
              </w:rPr>
              <w:t xml:space="preserve">: Today’s outsourcing practices and complex data flows are blurring lines of custody and control. </w:t>
            </w:r>
            <w:r w:rsidR="70DAEF1E" w:rsidRPr="74758699">
              <w:rPr>
                <w:rFonts w:eastAsiaTheme="minorEastAsia"/>
                <w:sz w:val="24"/>
                <w:szCs w:val="24"/>
              </w:rPr>
              <w:t>M</w:t>
            </w:r>
            <w:r w:rsidRPr="74758699">
              <w:rPr>
                <w:rFonts w:eastAsiaTheme="minorEastAsia"/>
                <w:sz w:val="24"/>
                <w:szCs w:val="24"/>
              </w:rPr>
              <w:t>ore than 3</w:t>
            </w:r>
            <w:r w:rsidR="21697AAD" w:rsidRPr="74758699">
              <w:rPr>
                <w:rFonts w:eastAsiaTheme="minorEastAsia"/>
                <w:sz w:val="24"/>
                <w:szCs w:val="24"/>
              </w:rPr>
              <w:t>5</w:t>
            </w:r>
            <w:r w:rsidRPr="74758699">
              <w:rPr>
                <w:rFonts w:eastAsiaTheme="minorEastAsia"/>
                <w:sz w:val="24"/>
                <w:szCs w:val="24"/>
              </w:rPr>
              <w:t xml:space="preserve">% of data breaches </w:t>
            </w:r>
            <w:hyperlink r:id="rId14">
              <w:r w:rsidR="35FF41C9" w:rsidRPr="74758699">
                <w:rPr>
                  <w:rStyle w:val="Hyperlink"/>
                  <w:rFonts w:eastAsiaTheme="minorEastAsia"/>
                  <w:sz w:val="24"/>
                  <w:szCs w:val="24"/>
                </w:rPr>
                <w:t>globally</w:t>
              </w:r>
            </w:hyperlink>
            <w:r w:rsidR="35FF41C9" w:rsidRPr="74758699">
              <w:rPr>
                <w:rFonts w:eastAsiaTheme="minorEastAsia"/>
                <w:sz w:val="24"/>
                <w:szCs w:val="24"/>
              </w:rPr>
              <w:t xml:space="preserve"> </w:t>
            </w:r>
            <w:r w:rsidRPr="74758699">
              <w:rPr>
                <w:rFonts w:eastAsiaTheme="minorEastAsia"/>
                <w:sz w:val="24"/>
                <w:szCs w:val="24"/>
              </w:rPr>
              <w:t>involve third-party suppliers or vendors. These breaches can damage reputation and trust --and highlight the need for robust third-party risk management programs. </w:t>
            </w:r>
          </w:p>
          <w:p w14:paraId="60F1E9B6" w14:textId="77777777" w:rsidR="005B3AF7" w:rsidRDefault="005B3AF7" w:rsidP="7CD26D39">
            <w:pPr>
              <w:ind w:left="160"/>
              <w:rPr>
                <w:rFonts w:eastAsiaTheme="minorEastAsia"/>
                <w:sz w:val="24"/>
                <w:szCs w:val="24"/>
              </w:rPr>
            </w:pPr>
          </w:p>
          <w:p w14:paraId="2A6EBC7D" w14:textId="4EBDFAFB" w:rsidR="00C4017C" w:rsidRDefault="20D00F3A" w:rsidP="7CD26D39">
            <w:pPr>
              <w:ind w:left="160"/>
              <w:rPr>
                <w:rFonts w:eastAsiaTheme="minorEastAsia"/>
                <w:sz w:val="24"/>
                <w:szCs w:val="24"/>
              </w:rPr>
            </w:pPr>
            <w:r w:rsidRPr="7CD26D39">
              <w:rPr>
                <w:rFonts w:eastAsiaTheme="minorEastAsia"/>
                <w:sz w:val="24"/>
                <w:szCs w:val="24"/>
                <w:u w:val="single"/>
              </w:rPr>
              <w:t>Unique</w:t>
            </w:r>
            <w:r w:rsidRPr="7CD26D39">
              <w:rPr>
                <w:rFonts w:eastAsiaTheme="minorEastAsia"/>
                <w:sz w:val="24"/>
                <w:szCs w:val="24"/>
              </w:rPr>
              <w:t xml:space="preserve">: Each year, Ontario public sector institutions spend $29 billion on goods and services, including to process personal data. Yet, there is little current guidance available to help them meet their privacy obligations. </w:t>
            </w:r>
            <w:r w:rsidR="0571A793" w:rsidRPr="7CD26D39">
              <w:rPr>
                <w:rFonts w:eastAsiaTheme="minorEastAsia"/>
                <w:sz w:val="24"/>
                <w:szCs w:val="24"/>
              </w:rPr>
              <w:t>In response, o</w:t>
            </w:r>
            <w:r w:rsidRPr="7CD26D39">
              <w:rPr>
                <w:rFonts w:eastAsiaTheme="minorEastAsia"/>
                <w:sz w:val="24"/>
                <w:szCs w:val="24"/>
              </w:rPr>
              <w:t>ur guidance establish</w:t>
            </w:r>
            <w:r w:rsidR="0571A793" w:rsidRPr="7CD26D39">
              <w:rPr>
                <w:rFonts w:eastAsiaTheme="minorEastAsia"/>
                <w:sz w:val="24"/>
                <w:szCs w:val="24"/>
              </w:rPr>
              <w:t>es</w:t>
            </w:r>
            <w:r w:rsidRPr="7CD26D39">
              <w:rPr>
                <w:rFonts w:eastAsiaTheme="minorEastAsia"/>
                <w:sz w:val="24"/>
                <w:szCs w:val="24"/>
              </w:rPr>
              <w:t xml:space="preserve"> a standard for due diligence, oversight, and effective governance.</w:t>
            </w:r>
          </w:p>
          <w:p w14:paraId="7CD7CB37" w14:textId="77777777" w:rsidR="005B3AF7" w:rsidRDefault="005B3AF7" w:rsidP="7CD26D39">
            <w:pPr>
              <w:ind w:left="160"/>
              <w:rPr>
                <w:rFonts w:eastAsiaTheme="minorEastAsia"/>
                <w:sz w:val="24"/>
                <w:szCs w:val="24"/>
              </w:rPr>
            </w:pPr>
          </w:p>
          <w:p w14:paraId="7541CBF7" w14:textId="2BDA7878" w:rsidR="00C4017C" w:rsidRDefault="20D00F3A" w:rsidP="7CD26D39">
            <w:pPr>
              <w:ind w:left="160"/>
              <w:rPr>
                <w:rFonts w:eastAsiaTheme="minorEastAsia"/>
                <w:sz w:val="24"/>
                <w:szCs w:val="24"/>
              </w:rPr>
            </w:pPr>
            <w:r w:rsidRPr="7CD26D39">
              <w:rPr>
                <w:rFonts w:eastAsiaTheme="minorEastAsia"/>
                <w:sz w:val="24"/>
                <w:szCs w:val="24"/>
                <w:u w:val="single"/>
              </w:rPr>
              <w:t>Useful</w:t>
            </w:r>
            <w:r w:rsidRPr="7CD26D39">
              <w:rPr>
                <w:rFonts w:eastAsiaTheme="minorEastAsia"/>
                <w:sz w:val="24"/>
                <w:szCs w:val="24"/>
              </w:rPr>
              <w:t>: Based on best practices, our guidance covers all stages of procurement and is written in clear and accessible language. It aligns with existing Ontario government procurement directives</w:t>
            </w:r>
            <w:r w:rsidR="125A6ADF" w:rsidRPr="7CD26D39">
              <w:rPr>
                <w:rFonts w:eastAsiaTheme="minorEastAsia"/>
                <w:sz w:val="24"/>
                <w:szCs w:val="24"/>
              </w:rPr>
              <w:t xml:space="preserve"> and r</w:t>
            </w:r>
            <w:r w:rsidRPr="7CD26D39">
              <w:rPr>
                <w:rFonts w:eastAsiaTheme="minorEastAsia"/>
                <w:sz w:val="24"/>
                <w:szCs w:val="24"/>
              </w:rPr>
              <w:t xml:space="preserve">esponse </w:t>
            </w:r>
            <w:r w:rsidR="39024461" w:rsidRPr="7CD26D39">
              <w:rPr>
                <w:rFonts w:eastAsiaTheme="minorEastAsia"/>
                <w:sz w:val="24"/>
                <w:szCs w:val="24"/>
              </w:rPr>
              <w:t xml:space="preserve">by regulated entities </w:t>
            </w:r>
            <w:r w:rsidRPr="7CD26D39">
              <w:rPr>
                <w:rFonts w:eastAsiaTheme="minorEastAsia"/>
                <w:sz w:val="24"/>
                <w:szCs w:val="24"/>
              </w:rPr>
              <w:t>has been highly positive to date.</w:t>
            </w:r>
          </w:p>
          <w:p w14:paraId="6158C7C2" w14:textId="77777777" w:rsidR="005B3AF7" w:rsidRDefault="005B3AF7" w:rsidP="7CD26D39">
            <w:pPr>
              <w:ind w:left="160"/>
              <w:rPr>
                <w:rFonts w:eastAsiaTheme="minorEastAsia"/>
                <w:sz w:val="24"/>
                <w:szCs w:val="24"/>
              </w:rPr>
            </w:pPr>
          </w:p>
          <w:p w14:paraId="3EE824CC" w14:textId="7EC9C1AB" w:rsidR="20D00F3A" w:rsidRDefault="20D00F3A" w:rsidP="7CD26D39">
            <w:pPr>
              <w:ind w:left="160"/>
              <w:rPr>
                <w:rFonts w:eastAsiaTheme="minorEastAsia"/>
                <w:sz w:val="24"/>
                <w:szCs w:val="24"/>
              </w:rPr>
            </w:pPr>
            <w:r w:rsidRPr="7CD26D39">
              <w:rPr>
                <w:rFonts w:eastAsiaTheme="minorEastAsia"/>
                <w:sz w:val="24"/>
                <w:szCs w:val="24"/>
                <w:u w:val="single"/>
              </w:rPr>
              <w:t>Universal</w:t>
            </w:r>
            <w:r w:rsidRPr="7CD26D39">
              <w:rPr>
                <w:rFonts w:eastAsiaTheme="minorEastAsia"/>
                <w:sz w:val="24"/>
                <w:szCs w:val="24"/>
              </w:rPr>
              <w:t xml:space="preserve">: </w:t>
            </w:r>
            <w:r w:rsidR="5E4C01F5" w:rsidRPr="7CD26D39">
              <w:rPr>
                <w:rFonts w:eastAsiaTheme="minorEastAsia"/>
                <w:sz w:val="24"/>
                <w:szCs w:val="24"/>
              </w:rPr>
              <w:t>Ou</w:t>
            </w:r>
            <w:r w:rsidRPr="7CD26D39">
              <w:rPr>
                <w:rFonts w:eastAsiaTheme="minorEastAsia"/>
                <w:sz w:val="24"/>
                <w:szCs w:val="24"/>
              </w:rPr>
              <w:t xml:space="preserve">r guidance was designed for use by the Ontario public </w:t>
            </w:r>
            <w:r w:rsidR="5B4D52ED" w:rsidRPr="7CD26D39">
              <w:rPr>
                <w:rFonts w:eastAsiaTheme="minorEastAsia"/>
                <w:sz w:val="24"/>
                <w:szCs w:val="24"/>
              </w:rPr>
              <w:t>sector but</w:t>
            </w:r>
            <w:r w:rsidRPr="7CD26D39">
              <w:rPr>
                <w:rFonts w:eastAsiaTheme="minorEastAsia"/>
                <w:sz w:val="24"/>
                <w:szCs w:val="24"/>
              </w:rPr>
              <w:t xml:space="preserve"> can be adapted to meet the needs of any organization, public or private, in any jurisdiction. </w:t>
            </w:r>
          </w:p>
          <w:p w14:paraId="4120D298" w14:textId="77777777" w:rsidR="00DD6623" w:rsidRPr="00DD6623" w:rsidRDefault="00DD6623" w:rsidP="7CD26D39">
            <w:pPr>
              <w:rPr>
                <w:rFonts w:eastAsiaTheme="minorEastAsia"/>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7CD26D39">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7CD26D39">
        <w:tc>
          <w:tcPr>
            <w:tcW w:w="9016" w:type="dxa"/>
            <w:tcBorders>
              <w:left w:val="single" w:sz="4" w:space="0" w:color="auto"/>
              <w:right w:val="single" w:sz="4" w:space="0" w:color="auto"/>
            </w:tcBorders>
          </w:tcPr>
          <w:p w14:paraId="5EF2420D" w14:textId="48CEB14B" w:rsidR="00DD6623" w:rsidRPr="00DD6623" w:rsidRDefault="187C979A" w:rsidP="7CD26D39">
            <w:pPr>
              <w:rPr>
                <w:rFonts w:ascii="Calibri" w:eastAsia="Calibri" w:hAnsi="Calibri" w:cs="Times New Roman"/>
                <w:sz w:val="24"/>
                <w:szCs w:val="24"/>
              </w:rPr>
            </w:pPr>
            <w:r>
              <w:rPr>
                <w:noProof/>
              </w:rPr>
              <w:lastRenderedPageBreak/>
              <w:drawing>
                <wp:inline distT="0" distB="0" distL="0" distR="0" wp14:anchorId="04C2383E" wp14:editId="762739C4">
                  <wp:extent cx="2791726" cy="3215264"/>
                  <wp:effectExtent l="0" t="0" r="0" b="0"/>
                  <wp:docPr id="589513581" name="Picture 589513581" descr="A close-up of a person typing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13581" name="Picture 589513581" descr="A close-up of a person typing on a computer&#10;&#10;Description automatically generated"/>
                          <pic:cNvPicPr/>
                        </pic:nvPicPr>
                        <pic:blipFill>
                          <a:blip r:embed="rId15" cstate="print">
                            <a:extLst>
                              <a:ext uri="{28A0092B-C50C-407E-A947-70E740481C1C}">
                                <a14:useLocalDpi xmlns:a14="http://schemas.microsoft.com/office/drawing/2010/main"/>
                              </a:ext>
                            </a:extLst>
                          </a:blip>
                          <a:stretch>
                            <a:fillRect/>
                          </a:stretch>
                        </pic:blipFill>
                        <pic:spPr>
                          <a:xfrm>
                            <a:off x="0" y="0"/>
                            <a:ext cx="2791726" cy="3215264"/>
                          </a:xfrm>
                          <a:prstGeom prst="rect">
                            <a:avLst/>
                          </a:prstGeom>
                        </pic:spPr>
                      </pic:pic>
                    </a:graphicData>
                  </a:graphic>
                </wp:inline>
              </w:drawing>
            </w:r>
            <w:r w:rsidRPr="7CD26D39">
              <w:rPr>
                <w:noProof/>
              </w:rPr>
              <w:t xml:space="preserve"> </w:t>
            </w:r>
          </w:p>
          <w:p w14:paraId="653B14FE" w14:textId="335A601E" w:rsidR="00DD6623" w:rsidRPr="00DD6623" w:rsidRDefault="00DD6623" w:rsidP="7CD26D39">
            <w:pPr>
              <w:rPr>
                <w:noProof/>
              </w:rPr>
            </w:pPr>
          </w:p>
        </w:tc>
      </w:tr>
      <w:tr w:rsidR="00DD6623" w:rsidRPr="00DD6623" w14:paraId="37EAEDEE" w14:textId="77777777" w:rsidTr="7CD26D39">
        <w:tc>
          <w:tcPr>
            <w:tcW w:w="9016" w:type="dxa"/>
            <w:tcBorders>
              <w:top w:val="nil"/>
              <w:left w:val="nil"/>
              <w:right w:val="nil"/>
            </w:tcBorders>
          </w:tcPr>
          <w:p w14:paraId="28085119" w14:textId="7E77339C" w:rsidR="00DD6623" w:rsidRPr="00DD6623" w:rsidRDefault="00DD6623" w:rsidP="7CD26D39">
            <w:pPr>
              <w:numPr>
                <w:ilvl w:val="0"/>
                <w:numId w:val="4"/>
              </w:numPr>
              <w:contextualSpacing/>
              <w:rPr>
                <w:rFonts w:ascii="Calibri" w:eastAsia="Calibri" w:hAnsi="Calibri" w:cs="Times New Roman"/>
                <w:b/>
                <w:bCs/>
                <w:i/>
                <w:iCs/>
                <w:sz w:val="24"/>
                <w:szCs w:val="24"/>
              </w:rPr>
            </w:pPr>
            <w:r w:rsidRPr="7CD26D39">
              <w:rPr>
                <w:rFonts w:ascii="Calibri" w:eastAsia="Calibri" w:hAnsi="Calibri" w:cs="Times New Roman"/>
                <w:b/>
                <w:bCs/>
                <w:sz w:val="24"/>
                <w:szCs w:val="24"/>
              </w:rPr>
              <w:t>Please provide the most relevant link on the authority’s website to the initiative</w:t>
            </w:r>
            <w:r w:rsidRPr="7CD26D39">
              <w:rPr>
                <w:rFonts w:ascii="Calibri" w:eastAsia="Calibri" w:hAnsi="Calibri" w:cs="Times New Roman"/>
                <w:b/>
                <w:bCs/>
                <w:i/>
                <w:iCs/>
                <w:sz w:val="24"/>
                <w:szCs w:val="24"/>
              </w:rPr>
              <w:t xml:space="preserve">, </w:t>
            </w:r>
            <w:r w:rsidRPr="7CD26D39">
              <w:rPr>
                <w:rFonts w:ascii="Calibri" w:eastAsia="Calibri" w:hAnsi="Calibri" w:cs="Times New Roman"/>
                <w:b/>
                <w:bCs/>
                <w:sz w:val="24"/>
                <w:szCs w:val="24"/>
              </w:rPr>
              <w:t xml:space="preserve">if applicable </w:t>
            </w:r>
            <w:r w:rsidRPr="7CD26D39">
              <w:rPr>
                <w:rFonts w:ascii="Calibri" w:eastAsia="Calibri" w:hAnsi="Calibri" w:cs="Times New Roman"/>
                <w:i/>
                <w:iCs/>
                <w:sz w:val="24"/>
                <w:szCs w:val="24"/>
              </w:rPr>
              <w:t>(The website content does not need to be in English)</w:t>
            </w:r>
          </w:p>
          <w:p w14:paraId="1163ACDA" w14:textId="18320CA0" w:rsidR="00DD6623" w:rsidRPr="00DD6623" w:rsidRDefault="00DD6623" w:rsidP="7CD26D39">
            <w:pPr>
              <w:ind w:left="360"/>
              <w:contextualSpacing/>
              <w:rPr>
                <w:rFonts w:ascii="Calibri" w:eastAsia="Calibri" w:hAnsi="Calibri" w:cs="Times New Roman"/>
                <w:b/>
                <w:bCs/>
                <w:i/>
                <w:iCs/>
                <w:sz w:val="24"/>
                <w:szCs w:val="24"/>
              </w:rPr>
            </w:pPr>
          </w:p>
        </w:tc>
      </w:tr>
      <w:tr w:rsidR="00DD6623" w:rsidRPr="00DD6623" w14:paraId="15EFE132" w14:textId="77777777" w:rsidTr="7CD26D39">
        <w:tc>
          <w:tcPr>
            <w:tcW w:w="9016" w:type="dxa"/>
          </w:tcPr>
          <w:p w14:paraId="7B8FA98E" w14:textId="77777777" w:rsidR="004F48F2" w:rsidRDefault="004F48F2" w:rsidP="004828EA">
            <w:pPr>
              <w:ind w:left="160"/>
            </w:pPr>
            <w:r w:rsidRPr="00B0591D">
              <w:t>Privacy and Access in Public Sector Contracting with Third Party Service Providers</w:t>
            </w:r>
          </w:p>
          <w:p w14:paraId="5168A6B8" w14:textId="77777777" w:rsidR="004F48F2" w:rsidRDefault="004F48F2" w:rsidP="004828EA">
            <w:pPr>
              <w:ind w:left="160"/>
              <w:rPr>
                <w:lang w:val="en-US"/>
              </w:rPr>
            </w:pPr>
            <w:hyperlink r:id="rId16" w:history="1">
              <w:r w:rsidRPr="00B0591D">
                <w:rPr>
                  <w:rStyle w:val="Hyperlink"/>
                  <w:lang w:val="en-US"/>
                </w:rPr>
                <w:t>https://www.ipc.on.ca/en/resources-and-decisions/privacy-and-access-public-sector-contracting-third-party-providers</w:t>
              </w:r>
            </w:hyperlink>
            <w:r>
              <w:rPr>
                <w:lang w:val="en-US"/>
              </w:rPr>
              <w:t xml:space="preserve"> </w:t>
            </w:r>
            <w:r w:rsidRPr="2FB9D4C3">
              <w:rPr>
                <w:lang w:val="en-US"/>
              </w:rPr>
              <w:t xml:space="preserve"> </w:t>
            </w:r>
          </w:p>
          <w:p w14:paraId="1B86F5A2" w14:textId="77777777" w:rsidR="000A74A8" w:rsidRDefault="000A74A8" w:rsidP="004828EA">
            <w:pPr>
              <w:ind w:left="160"/>
              <w:rPr>
                <w:lang w:val="en-US"/>
              </w:rPr>
            </w:pPr>
          </w:p>
          <w:p w14:paraId="38043EF4" w14:textId="77777777" w:rsidR="00DD6623" w:rsidRPr="00DD6623" w:rsidRDefault="00DD6623" w:rsidP="00DD6623">
            <w:pPr>
              <w:rPr>
                <w:rFonts w:ascii="Calibri" w:eastAsia="Calibri" w:hAnsi="Calibri" w:cs="Times New Roman"/>
                <w:i/>
                <w:iCs/>
                <w:sz w:val="24"/>
                <w:szCs w:val="24"/>
              </w:rPr>
            </w:pPr>
          </w:p>
        </w:tc>
      </w:tr>
      <w:tr w:rsidR="7CD26D39" w14:paraId="12DB52BD" w14:textId="77777777" w:rsidTr="7CD26D39">
        <w:trPr>
          <w:trHeight w:val="300"/>
        </w:trPr>
        <w:tc>
          <w:tcPr>
            <w:tcW w:w="9016" w:type="dxa"/>
          </w:tcPr>
          <w:p w14:paraId="5468BA7C" w14:textId="24E087C5" w:rsidR="7CD26D39" w:rsidRDefault="7CD26D39" w:rsidP="7CD26D39"/>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7CD26D39">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7CD26D39">
        <w:tc>
          <w:tcPr>
            <w:tcW w:w="9016" w:type="dxa"/>
            <w:tcBorders>
              <w:top w:val="single" w:sz="4" w:space="0" w:color="auto"/>
            </w:tcBorders>
          </w:tcPr>
          <w:p w14:paraId="5046014D" w14:textId="24612B27" w:rsidR="7CD26D39" w:rsidRDefault="7CD26D39" w:rsidP="7CD26D39">
            <w:pPr>
              <w:ind w:left="160"/>
              <w:rPr>
                <w:sz w:val="24"/>
                <w:szCs w:val="24"/>
              </w:rPr>
            </w:pPr>
          </w:p>
          <w:p w14:paraId="0349DCE6" w14:textId="39CF9CA6" w:rsidR="004828EA" w:rsidRDefault="09BFF098" w:rsidP="7CD26D39">
            <w:pPr>
              <w:ind w:left="160"/>
              <w:rPr>
                <w:sz w:val="24"/>
                <w:szCs w:val="24"/>
              </w:rPr>
            </w:pPr>
            <w:r w:rsidRPr="7CD26D39">
              <w:rPr>
                <w:sz w:val="24"/>
                <w:szCs w:val="24"/>
              </w:rPr>
              <w:t xml:space="preserve">A good example of the </w:t>
            </w:r>
            <w:r w:rsidR="0FB34E23" w:rsidRPr="7CD26D39">
              <w:rPr>
                <w:sz w:val="24"/>
                <w:szCs w:val="24"/>
              </w:rPr>
              <w:t xml:space="preserve">direct </w:t>
            </w:r>
            <w:r w:rsidRPr="7CD26D39">
              <w:rPr>
                <w:sz w:val="24"/>
                <w:szCs w:val="24"/>
              </w:rPr>
              <w:t xml:space="preserve">relevance of this guidance </w:t>
            </w:r>
            <w:r w:rsidR="4C825CA3" w:rsidRPr="7CD26D39">
              <w:rPr>
                <w:sz w:val="24"/>
                <w:szCs w:val="24"/>
              </w:rPr>
              <w:t>is</w:t>
            </w:r>
            <w:r w:rsidRPr="7CD26D39">
              <w:rPr>
                <w:sz w:val="24"/>
                <w:szCs w:val="24"/>
              </w:rPr>
              <w:t xml:space="preserve"> illustrated </w:t>
            </w:r>
            <w:r w:rsidR="11B93E6B" w:rsidRPr="7CD26D39">
              <w:rPr>
                <w:sz w:val="24"/>
                <w:szCs w:val="24"/>
              </w:rPr>
              <w:t>by t</w:t>
            </w:r>
            <w:r w:rsidRPr="7CD26D39">
              <w:rPr>
                <w:sz w:val="24"/>
                <w:szCs w:val="24"/>
              </w:rPr>
              <w:t xml:space="preserve">his recent investigation into </w:t>
            </w:r>
            <w:r w:rsidR="17AC5D5A" w:rsidRPr="7CD26D39">
              <w:rPr>
                <w:sz w:val="24"/>
                <w:szCs w:val="24"/>
              </w:rPr>
              <w:t xml:space="preserve">the use of </w:t>
            </w:r>
            <w:r w:rsidRPr="7CD26D39">
              <w:rPr>
                <w:sz w:val="24"/>
                <w:szCs w:val="24"/>
              </w:rPr>
              <w:t xml:space="preserve">facial detection technology in smart vending machines on university campuses: </w:t>
            </w:r>
            <w:hyperlink r:id="rId17">
              <w:r w:rsidR="2EB60312" w:rsidRPr="7CD26D39">
                <w:rPr>
                  <w:rStyle w:val="Hyperlink"/>
                  <w:sz w:val="24"/>
                  <w:szCs w:val="24"/>
                </w:rPr>
                <w:t>https://decisions.ipc.on.ca/ipc-cipvp/privacy/en/item/521985/index.do</w:t>
              </w:r>
            </w:hyperlink>
          </w:p>
          <w:p w14:paraId="215E7F7A" w14:textId="4CFD5360" w:rsidR="004828EA" w:rsidRDefault="004828EA" w:rsidP="7CD26D39">
            <w:pPr>
              <w:ind w:left="160"/>
              <w:rPr>
                <w:sz w:val="24"/>
                <w:szCs w:val="24"/>
              </w:rPr>
            </w:pPr>
          </w:p>
          <w:p w14:paraId="222B32CA" w14:textId="72AB7DBC" w:rsidR="004828EA" w:rsidRDefault="30DC7DE7" w:rsidP="7CD26D39">
            <w:pPr>
              <w:ind w:left="160"/>
              <w:rPr>
                <w:sz w:val="24"/>
                <w:szCs w:val="24"/>
              </w:rPr>
            </w:pPr>
            <w:r w:rsidRPr="7CD26D39">
              <w:rPr>
                <w:sz w:val="24"/>
                <w:szCs w:val="24"/>
              </w:rPr>
              <w:t xml:space="preserve">The IPC’s </w:t>
            </w:r>
            <w:r w:rsidR="720D24CD" w:rsidRPr="7CD26D39">
              <w:rPr>
                <w:sz w:val="24"/>
                <w:szCs w:val="24"/>
              </w:rPr>
              <w:t xml:space="preserve">outsourcing </w:t>
            </w:r>
            <w:r w:rsidRPr="7CD26D39">
              <w:rPr>
                <w:sz w:val="24"/>
                <w:szCs w:val="24"/>
              </w:rPr>
              <w:t xml:space="preserve">guidance has been referred to and discussed by many privacy experts and practitioners in the sector: </w:t>
            </w:r>
          </w:p>
          <w:p w14:paraId="6D15C7EE" w14:textId="6AFD28E9" w:rsidR="004828EA" w:rsidRDefault="004828EA" w:rsidP="7CD26D39">
            <w:pPr>
              <w:ind w:left="160"/>
              <w:rPr>
                <w:sz w:val="24"/>
                <w:szCs w:val="24"/>
              </w:rPr>
            </w:pPr>
          </w:p>
          <w:p w14:paraId="4418B3F9" w14:textId="31446905" w:rsidR="004828EA" w:rsidRDefault="0CDE3DD7" w:rsidP="7CD26D39">
            <w:pPr>
              <w:ind w:left="160"/>
              <w:rPr>
                <w:sz w:val="24"/>
                <w:szCs w:val="24"/>
              </w:rPr>
            </w:pPr>
            <w:r w:rsidRPr="7CD26D39">
              <w:rPr>
                <w:sz w:val="24"/>
                <w:szCs w:val="24"/>
              </w:rPr>
              <w:t xml:space="preserve">IAPP Canada Symposium Workshop (Sunday 11 May 2025): </w:t>
            </w:r>
          </w:p>
          <w:p w14:paraId="02BD216A" w14:textId="77777777" w:rsidR="004828EA" w:rsidRDefault="0CDE3DD7" w:rsidP="7CD26D39">
            <w:pPr>
              <w:ind w:left="160"/>
              <w:rPr>
                <w:sz w:val="24"/>
                <w:szCs w:val="24"/>
              </w:rPr>
            </w:pPr>
            <w:r w:rsidRPr="7CD26D39">
              <w:rPr>
                <w:i/>
                <w:iCs/>
                <w:sz w:val="24"/>
                <w:szCs w:val="24"/>
              </w:rPr>
              <w:t>A Holistic Approach to Third-party Vendor Management</w:t>
            </w:r>
            <w:r w:rsidRPr="7CD26D39">
              <w:rPr>
                <w:sz w:val="24"/>
                <w:szCs w:val="24"/>
              </w:rPr>
              <w:t xml:space="preserve">) </w:t>
            </w:r>
          </w:p>
          <w:p w14:paraId="2CB79DB3" w14:textId="77777777" w:rsidR="004828EA" w:rsidRDefault="0CDE3DD7" w:rsidP="7CD26D39">
            <w:pPr>
              <w:ind w:left="160"/>
              <w:rPr>
                <w:sz w:val="24"/>
                <w:szCs w:val="24"/>
              </w:rPr>
            </w:pPr>
            <w:r w:rsidRPr="7CD26D39">
              <w:rPr>
                <w:sz w:val="24"/>
                <w:szCs w:val="24"/>
              </w:rPr>
              <w:t xml:space="preserve">A major international privacy organization designed a half-day vendor management workshop around the procurement stages in the guide. </w:t>
            </w:r>
          </w:p>
          <w:p w14:paraId="1B29ACBB" w14:textId="77777777" w:rsidR="004828EA" w:rsidRDefault="0CDE3DD7" w:rsidP="7CD26D39">
            <w:pPr>
              <w:ind w:left="160"/>
              <w:rPr>
                <w:sz w:val="24"/>
                <w:szCs w:val="24"/>
              </w:rPr>
            </w:pPr>
            <w:hyperlink r:id="rId18">
              <w:r w:rsidRPr="7CD26D39">
                <w:rPr>
                  <w:rStyle w:val="Hyperlink"/>
                  <w:sz w:val="24"/>
                  <w:szCs w:val="24"/>
                </w:rPr>
                <w:t>https://iapp.org/conference/past-conferences/CPS25/</w:t>
              </w:r>
            </w:hyperlink>
          </w:p>
          <w:p w14:paraId="28D43E1A" w14:textId="77777777" w:rsidR="004828EA" w:rsidRDefault="004828EA" w:rsidP="7CD26D39">
            <w:pPr>
              <w:ind w:left="160"/>
              <w:rPr>
                <w:sz w:val="24"/>
                <w:szCs w:val="24"/>
              </w:rPr>
            </w:pPr>
          </w:p>
          <w:p w14:paraId="715F3FD0" w14:textId="77777777" w:rsidR="004828EA" w:rsidRPr="00B44463" w:rsidRDefault="0CDE3DD7" w:rsidP="7CD26D39">
            <w:pPr>
              <w:ind w:left="160"/>
              <w:rPr>
                <w:i/>
                <w:iCs/>
                <w:sz w:val="24"/>
                <w:szCs w:val="24"/>
              </w:rPr>
            </w:pPr>
            <w:r w:rsidRPr="7CD26D39">
              <w:rPr>
                <w:sz w:val="24"/>
                <w:szCs w:val="24"/>
              </w:rPr>
              <w:t>Borden Ladner Gervais Law (7 June 2024)</w:t>
            </w:r>
            <w:r w:rsidR="004828EA">
              <w:br/>
            </w:r>
            <w:r w:rsidRPr="7CD26D39">
              <w:rPr>
                <w:i/>
                <w:iCs/>
                <w:sz w:val="24"/>
                <w:szCs w:val="24"/>
              </w:rPr>
              <w:t>New outsourcing guidance by Ontario public sector privacy regulator</w:t>
            </w:r>
          </w:p>
          <w:p w14:paraId="6E1FFCA1" w14:textId="77777777" w:rsidR="004828EA" w:rsidRDefault="0CDE3DD7" w:rsidP="7CD26D39">
            <w:pPr>
              <w:ind w:left="160"/>
              <w:rPr>
                <w:sz w:val="24"/>
                <w:szCs w:val="24"/>
              </w:rPr>
            </w:pPr>
            <w:hyperlink r:id="rId19">
              <w:r w:rsidRPr="7CD26D39">
                <w:rPr>
                  <w:rStyle w:val="Hyperlink"/>
                  <w:sz w:val="24"/>
                  <w:szCs w:val="24"/>
                </w:rPr>
                <w:t>https://www.blg.com/en/insights/2024/06/new-outsourcing-guidance-by-ontario-public-sector-privacy-regulator</w:t>
              </w:r>
            </w:hyperlink>
            <w:r w:rsidRPr="7CD26D39">
              <w:rPr>
                <w:sz w:val="24"/>
                <w:szCs w:val="24"/>
              </w:rPr>
              <w:t xml:space="preserve"> </w:t>
            </w:r>
          </w:p>
          <w:p w14:paraId="5C2BA63F" w14:textId="77777777" w:rsidR="004828EA" w:rsidRDefault="004828EA" w:rsidP="7CD26D39">
            <w:pPr>
              <w:ind w:left="160"/>
              <w:rPr>
                <w:sz w:val="24"/>
                <w:szCs w:val="24"/>
              </w:rPr>
            </w:pPr>
          </w:p>
          <w:p w14:paraId="11959F2C" w14:textId="77777777" w:rsidR="004828EA" w:rsidRDefault="0CDE3DD7" w:rsidP="7CD26D39">
            <w:pPr>
              <w:ind w:left="160"/>
              <w:rPr>
                <w:sz w:val="24"/>
                <w:szCs w:val="24"/>
              </w:rPr>
            </w:pPr>
            <w:proofErr w:type="spellStart"/>
            <w:r w:rsidRPr="7CD26D39">
              <w:rPr>
                <w:sz w:val="24"/>
                <w:szCs w:val="24"/>
              </w:rPr>
              <w:t>Lerners</w:t>
            </w:r>
            <w:proofErr w:type="spellEnd"/>
            <w:r w:rsidRPr="7CD26D39">
              <w:rPr>
                <w:sz w:val="24"/>
                <w:szCs w:val="24"/>
              </w:rPr>
              <w:t xml:space="preserve"> Law (7 June 2024) </w:t>
            </w:r>
          </w:p>
          <w:p w14:paraId="34081E1F" w14:textId="77777777" w:rsidR="004828EA" w:rsidRPr="00B44463" w:rsidRDefault="0CDE3DD7" w:rsidP="7CD26D39">
            <w:pPr>
              <w:ind w:left="160"/>
              <w:rPr>
                <w:i/>
                <w:iCs/>
                <w:sz w:val="24"/>
                <w:szCs w:val="24"/>
              </w:rPr>
            </w:pPr>
            <w:r w:rsidRPr="7CD26D39">
              <w:rPr>
                <w:i/>
                <w:iCs/>
                <w:sz w:val="24"/>
                <w:szCs w:val="24"/>
              </w:rPr>
              <w:t>The IPC Provides New Guidance to Public Sector Entities</w:t>
            </w:r>
          </w:p>
          <w:p w14:paraId="36785B83" w14:textId="77777777" w:rsidR="004828EA" w:rsidRDefault="0CDE3DD7" w:rsidP="7CD26D39">
            <w:pPr>
              <w:ind w:left="160"/>
              <w:rPr>
                <w:sz w:val="24"/>
                <w:szCs w:val="24"/>
              </w:rPr>
            </w:pPr>
            <w:hyperlink r:id="rId20">
              <w:r w:rsidRPr="7CD26D39">
                <w:rPr>
                  <w:rStyle w:val="Hyperlink"/>
                  <w:sz w:val="24"/>
                  <w:szCs w:val="24"/>
                </w:rPr>
                <w:t>https://lerners.ca/lernx/privacy-access-considerations-when-contracting-with-third-parties-ipc-new-guidance-public-sector</w:t>
              </w:r>
            </w:hyperlink>
            <w:r w:rsidRPr="7CD26D39">
              <w:rPr>
                <w:sz w:val="24"/>
                <w:szCs w:val="24"/>
              </w:rPr>
              <w:t xml:space="preserve"> </w:t>
            </w:r>
          </w:p>
          <w:p w14:paraId="425B78AC" w14:textId="77777777" w:rsidR="004828EA" w:rsidRDefault="004828EA" w:rsidP="7CD26D39">
            <w:pPr>
              <w:ind w:left="160"/>
              <w:rPr>
                <w:sz w:val="24"/>
                <w:szCs w:val="24"/>
              </w:rPr>
            </w:pPr>
          </w:p>
          <w:p w14:paraId="4A312E48" w14:textId="77777777" w:rsidR="004828EA" w:rsidRDefault="0CDE3DD7" w:rsidP="7CD26D39">
            <w:pPr>
              <w:ind w:left="160"/>
              <w:rPr>
                <w:sz w:val="24"/>
                <w:szCs w:val="24"/>
              </w:rPr>
            </w:pPr>
            <w:r w:rsidRPr="7CD26D39">
              <w:rPr>
                <w:sz w:val="24"/>
                <w:szCs w:val="24"/>
              </w:rPr>
              <w:t>INQ Law (20 June 2024)</w:t>
            </w:r>
          </w:p>
          <w:p w14:paraId="5BC96B27" w14:textId="77777777" w:rsidR="004828EA" w:rsidRPr="00B44463" w:rsidRDefault="0CDE3DD7" w:rsidP="7CD26D39">
            <w:pPr>
              <w:ind w:left="160"/>
              <w:rPr>
                <w:i/>
                <w:iCs/>
                <w:sz w:val="24"/>
                <w:szCs w:val="24"/>
              </w:rPr>
            </w:pPr>
            <w:r w:rsidRPr="7CD26D39">
              <w:rPr>
                <w:i/>
                <w:iCs/>
                <w:sz w:val="24"/>
                <w:szCs w:val="24"/>
              </w:rPr>
              <w:t>Navigating Privacy and Access in Public Sector Contracts</w:t>
            </w:r>
          </w:p>
          <w:p w14:paraId="59209FB1" w14:textId="77777777" w:rsidR="004828EA" w:rsidRDefault="0CDE3DD7" w:rsidP="7CD26D39">
            <w:pPr>
              <w:ind w:left="160"/>
              <w:rPr>
                <w:sz w:val="24"/>
                <w:szCs w:val="24"/>
              </w:rPr>
            </w:pPr>
            <w:hyperlink r:id="rId21">
              <w:r w:rsidRPr="7CD26D39">
                <w:rPr>
                  <w:rStyle w:val="Hyperlink"/>
                  <w:sz w:val="24"/>
                  <w:szCs w:val="24"/>
                </w:rPr>
                <w:t>https://www.inq.law/post/navigating-privacy-and-access-in-public-sector-contracts</w:t>
              </w:r>
            </w:hyperlink>
            <w:r w:rsidRPr="7CD26D39">
              <w:rPr>
                <w:sz w:val="24"/>
                <w:szCs w:val="24"/>
              </w:rPr>
              <w:t xml:space="preserve"> </w:t>
            </w:r>
          </w:p>
          <w:p w14:paraId="539B320D" w14:textId="77777777" w:rsidR="004828EA" w:rsidRDefault="004828EA" w:rsidP="7CD26D39">
            <w:pPr>
              <w:ind w:left="160"/>
              <w:rPr>
                <w:sz w:val="24"/>
                <w:szCs w:val="24"/>
              </w:rPr>
            </w:pPr>
          </w:p>
          <w:p w14:paraId="03DBF405" w14:textId="77777777" w:rsidR="004828EA" w:rsidRDefault="0CDE3DD7" w:rsidP="7CD26D39">
            <w:pPr>
              <w:ind w:left="160"/>
              <w:rPr>
                <w:sz w:val="24"/>
                <w:szCs w:val="24"/>
              </w:rPr>
            </w:pPr>
            <w:proofErr w:type="spellStart"/>
            <w:r w:rsidRPr="7CD26D39">
              <w:rPr>
                <w:sz w:val="24"/>
                <w:szCs w:val="24"/>
              </w:rPr>
              <w:t>Mondaq</w:t>
            </w:r>
            <w:proofErr w:type="spellEnd"/>
            <w:r w:rsidRPr="7CD26D39">
              <w:rPr>
                <w:sz w:val="24"/>
                <w:szCs w:val="24"/>
              </w:rPr>
              <w:t xml:space="preserve"> (21 June 2024)</w:t>
            </w:r>
          </w:p>
          <w:p w14:paraId="282D0862" w14:textId="77777777" w:rsidR="004828EA" w:rsidRPr="00B44463" w:rsidRDefault="0CDE3DD7" w:rsidP="7CD26D39">
            <w:pPr>
              <w:ind w:left="160"/>
              <w:rPr>
                <w:i/>
                <w:iCs/>
                <w:sz w:val="24"/>
                <w:szCs w:val="24"/>
              </w:rPr>
            </w:pPr>
            <w:r w:rsidRPr="7CD26D39">
              <w:rPr>
                <w:i/>
                <w:iCs/>
                <w:sz w:val="24"/>
                <w:szCs w:val="24"/>
              </w:rPr>
              <w:t>You Are The Company You Keep: Managing Third Party Privacy Risk</w:t>
            </w:r>
          </w:p>
          <w:p w14:paraId="62A763A7" w14:textId="77777777" w:rsidR="004828EA" w:rsidRDefault="0CDE3DD7" w:rsidP="7CD26D39">
            <w:pPr>
              <w:ind w:left="160"/>
              <w:rPr>
                <w:sz w:val="24"/>
                <w:szCs w:val="24"/>
              </w:rPr>
            </w:pPr>
            <w:hyperlink r:id="rId22">
              <w:r w:rsidRPr="7CD26D39">
                <w:rPr>
                  <w:rStyle w:val="Hyperlink"/>
                  <w:sz w:val="24"/>
                  <w:szCs w:val="24"/>
                </w:rPr>
                <w:t>https://www.mondaq.com/canada/privacy-protection/1481764/you-are-the-company-you-keep-managing-third-party-privacy-risk</w:t>
              </w:r>
            </w:hyperlink>
          </w:p>
          <w:p w14:paraId="1FAD80D8" w14:textId="77777777" w:rsidR="00DD6623" w:rsidRPr="00DD6623" w:rsidRDefault="00DD6623" w:rsidP="7CD26D39">
            <w:pPr>
              <w:rPr>
                <w:rFonts w:ascii="Calibri" w:eastAsia="Calibri" w:hAnsi="Calibri" w:cs="Times New Roman"/>
                <w:i/>
                <w:iCs/>
                <w:sz w:val="24"/>
                <w:szCs w:val="24"/>
              </w:rPr>
            </w:pPr>
          </w:p>
          <w:p w14:paraId="5E3499F6" w14:textId="77777777" w:rsidR="00DD6623" w:rsidRPr="00DD6623" w:rsidRDefault="00DD6623" w:rsidP="7CD26D39">
            <w:pPr>
              <w:rPr>
                <w:rFonts w:ascii="Calibri" w:eastAsia="Calibri" w:hAnsi="Calibri" w:cs="Times New Roman"/>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7CD26D39">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footerReference w:type="default" r:id="rId23"/>
      <w:headerReference w:type="first" r:id="rId24"/>
      <w:footerReference w:type="first" r:id="rId2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B7CD" w14:textId="77777777" w:rsidR="00FC0F4E" w:rsidRDefault="00FC0F4E" w:rsidP="00F41B32">
      <w:pPr>
        <w:spacing w:after="0" w:line="240" w:lineRule="auto"/>
      </w:pPr>
      <w:r>
        <w:separator/>
      </w:r>
    </w:p>
  </w:endnote>
  <w:endnote w:type="continuationSeparator" w:id="0">
    <w:p w14:paraId="28A1F593" w14:textId="77777777" w:rsidR="00FC0F4E" w:rsidRDefault="00FC0F4E" w:rsidP="00F41B32">
      <w:pPr>
        <w:spacing w:after="0" w:line="240" w:lineRule="auto"/>
      </w:pPr>
      <w:r>
        <w:continuationSeparator/>
      </w:r>
    </w:p>
  </w:endnote>
  <w:endnote w:type="continuationNotice" w:id="1">
    <w:p w14:paraId="65387877" w14:textId="77777777" w:rsidR="00FC0F4E" w:rsidRDefault="00FC0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62801" w14:textId="77777777" w:rsidR="00FC0F4E" w:rsidRDefault="00FC0F4E" w:rsidP="00F41B32">
      <w:pPr>
        <w:spacing w:after="0" w:line="240" w:lineRule="auto"/>
      </w:pPr>
      <w:r>
        <w:separator/>
      </w:r>
    </w:p>
  </w:footnote>
  <w:footnote w:type="continuationSeparator" w:id="0">
    <w:p w14:paraId="174B5B96" w14:textId="77777777" w:rsidR="00FC0F4E" w:rsidRDefault="00FC0F4E" w:rsidP="00F41B32">
      <w:pPr>
        <w:spacing w:after="0" w:line="240" w:lineRule="auto"/>
      </w:pPr>
      <w:r>
        <w:continuationSeparator/>
      </w:r>
    </w:p>
  </w:footnote>
  <w:footnote w:type="continuationNotice" w:id="1">
    <w:p w14:paraId="01A1C087" w14:textId="77777777" w:rsidR="00FC0F4E" w:rsidRDefault="00FC0F4E">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0202A3"/>
    <w:multiLevelType w:val="hybridMultilevel"/>
    <w:tmpl w:val="BC4C678A"/>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0"/>
  </w:num>
  <w:num w:numId="2" w16cid:durableId="1919173016">
    <w:abstractNumId w:val="4"/>
  </w:num>
  <w:num w:numId="3" w16cid:durableId="1738243251">
    <w:abstractNumId w:val="1"/>
  </w:num>
  <w:num w:numId="4" w16cid:durableId="182015408">
    <w:abstractNumId w:val="3"/>
  </w:num>
  <w:num w:numId="5" w16cid:durableId="132536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378AB"/>
    <w:rsid w:val="000424C6"/>
    <w:rsid w:val="00043846"/>
    <w:rsid w:val="00054214"/>
    <w:rsid w:val="00054D8F"/>
    <w:rsid w:val="000610EE"/>
    <w:rsid w:val="00074986"/>
    <w:rsid w:val="000A74A8"/>
    <w:rsid w:val="000B32D8"/>
    <w:rsid w:val="000B4651"/>
    <w:rsid w:val="000F36AE"/>
    <w:rsid w:val="001268C5"/>
    <w:rsid w:val="00150BA3"/>
    <w:rsid w:val="00171841"/>
    <w:rsid w:val="00177F95"/>
    <w:rsid w:val="00186420"/>
    <w:rsid w:val="00193EBC"/>
    <w:rsid w:val="001B1447"/>
    <w:rsid w:val="001B3FE8"/>
    <w:rsid w:val="001D4FC2"/>
    <w:rsid w:val="00216430"/>
    <w:rsid w:val="00235848"/>
    <w:rsid w:val="002540DD"/>
    <w:rsid w:val="002604F5"/>
    <w:rsid w:val="00281428"/>
    <w:rsid w:val="00287875"/>
    <w:rsid w:val="002B5139"/>
    <w:rsid w:val="002D106F"/>
    <w:rsid w:val="002F7D3D"/>
    <w:rsid w:val="00301994"/>
    <w:rsid w:val="00316AE1"/>
    <w:rsid w:val="003800F5"/>
    <w:rsid w:val="003925FA"/>
    <w:rsid w:val="003A0EC7"/>
    <w:rsid w:val="003A37D3"/>
    <w:rsid w:val="003A69A7"/>
    <w:rsid w:val="003B7DAA"/>
    <w:rsid w:val="003D58FC"/>
    <w:rsid w:val="003E5D3B"/>
    <w:rsid w:val="003E5F09"/>
    <w:rsid w:val="0043397E"/>
    <w:rsid w:val="004467A0"/>
    <w:rsid w:val="00451D9B"/>
    <w:rsid w:val="00471E98"/>
    <w:rsid w:val="00480B2C"/>
    <w:rsid w:val="004828EA"/>
    <w:rsid w:val="004869CE"/>
    <w:rsid w:val="0049273F"/>
    <w:rsid w:val="004C41B3"/>
    <w:rsid w:val="004D1E2E"/>
    <w:rsid w:val="004E5F37"/>
    <w:rsid w:val="004F1954"/>
    <w:rsid w:val="004F48F2"/>
    <w:rsid w:val="00500A57"/>
    <w:rsid w:val="00502848"/>
    <w:rsid w:val="00514A4F"/>
    <w:rsid w:val="0057237B"/>
    <w:rsid w:val="005B3AF7"/>
    <w:rsid w:val="005C0354"/>
    <w:rsid w:val="005E12FC"/>
    <w:rsid w:val="005E4FDC"/>
    <w:rsid w:val="005F6A4F"/>
    <w:rsid w:val="00600353"/>
    <w:rsid w:val="00615F6C"/>
    <w:rsid w:val="00633D54"/>
    <w:rsid w:val="006756E8"/>
    <w:rsid w:val="006818CD"/>
    <w:rsid w:val="0068231A"/>
    <w:rsid w:val="006832D5"/>
    <w:rsid w:val="00697A41"/>
    <w:rsid w:val="00697F72"/>
    <w:rsid w:val="006A3D3A"/>
    <w:rsid w:val="006B1D18"/>
    <w:rsid w:val="006E1894"/>
    <w:rsid w:val="0070032E"/>
    <w:rsid w:val="0071587F"/>
    <w:rsid w:val="0072573D"/>
    <w:rsid w:val="00747895"/>
    <w:rsid w:val="00792750"/>
    <w:rsid w:val="007B2B44"/>
    <w:rsid w:val="007B6E8E"/>
    <w:rsid w:val="007D00E1"/>
    <w:rsid w:val="007F6577"/>
    <w:rsid w:val="00805A48"/>
    <w:rsid w:val="00806684"/>
    <w:rsid w:val="00812F46"/>
    <w:rsid w:val="00816ED0"/>
    <w:rsid w:val="0082165F"/>
    <w:rsid w:val="0082183A"/>
    <w:rsid w:val="00830CDA"/>
    <w:rsid w:val="00863C68"/>
    <w:rsid w:val="008B7E2F"/>
    <w:rsid w:val="008D3516"/>
    <w:rsid w:val="00903E7C"/>
    <w:rsid w:val="0095313B"/>
    <w:rsid w:val="009B3AEE"/>
    <w:rsid w:val="00A04F81"/>
    <w:rsid w:val="00A3098B"/>
    <w:rsid w:val="00A30B63"/>
    <w:rsid w:val="00A42A5D"/>
    <w:rsid w:val="00A45AD6"/>
    <w:rsid w:val="00A56192"/>
    <w:rsid w:val="00A947E7"/>
    <w:rsid w:val="00AC02D8"/>
    <w:rsid w:val="00AE0568"/>
    <w:rsid w:val="00AF2415"/>
    <w:rsid w:val="00B17318"/>
    <w:rsid w:val="00B541DD"/>
    <w:rsid w:val="00B62F7A"/>
    <w:rsid w:val="00B75191"/>
    <w:rsid w:val="00B831EB"/>
    <w:rsid w:val="00BB6A10"/>
    <w:rsid w:val="00BD2F98"/>
    <w:rsid w:val="00BF49F3"/>
    <w:rsid w:val="00C27874"/>
    <w:rsid w:val="00C4017C"/>
    <w:rsid w:val="00C4170F"/>
    <w:rsid w:val="00C574B1"/>
    <w:rsid w:val="00C67697"/>
    <w:rsid w:val="00C91AFF"/>
    <w:rsid w:val="00C96C3C"/>
    <w:rsid w:val="00C97DE0"/>
    <w:rsid w:val="00CB0A28"/>
    <w:rsid w:val="00CB241A"/>
    <w:rsid w:val="00CE741E"/>
    <w:rsid w:val="00D15EEF"/>
    <w:rsid w:val="00D2147F"/>
    <w:rsid w:val="00D456F2"/>
    <w:rsid w:val="00D57899"/>
    <w:rsid w:val="00D60184"/>
    <w:rsid w:val="00D67BB7"/>
    <w:rsid w:val="00D81921"/>
    <w:rsid w:val="00D97CA0"/>
    <w:rsid w:val="00DC58A3"/>
    <w:rsid w:val="00DC6E06"/>
    <w:rsid w:val="00DD6623"/>
    <w:rsid w:val="00DE2947"/>
    <w:rsid w:val="00DE7A0D"/>
    <w:rsid w:val="00DF40FC"/>
    <w:rsid w:val="00E02E87"/>
    <w:rsid w:val="00E43076"/>
    <w:rsid w:val="00E57180"/>
    <w:rsid w:val="00E90C6C"/>
    <w:rsid w:val="00E933E6"/>
    <w:rsid w:val="00EC0A07"/>
    <w:rsid w:val="00EC7448"/>
    <w:rsid w:val="00EE7927"/>
    <w:rsid w:val="00EE7D51"/>
    <w:rsid w:val="00F00A94"/>
    <w:rsid w:val="00F043DC"/>
    <w:rsid w:val="00F41B32"/>
    <w:rsid w:val="00F83EFA"/>
    <w:rsid w:val="00F90516"/>
    <w:rsid w:val="00FC0F4E"/>
    <w:rsid w:val="00FD0D20"/>
    <w:rsid w:val="00FD2440"/>
    <w:rsid w:val="00FD3EE7"/>
    <w:rsid w:val="00FE1CBF"/>
    <w:rsid w:val="00FE65E0"/>
    <w:rsid w:val="00FF7E66"/>
    <w:rsid w:val="01517A4F"/>
    <w:rsid w:val="042FE2CB"/>
    <w:rsid w:val="05077B47"/>
    <w:rsid w:val="0571A793"/>
    <w:rsid w:val="06A369DC"/>
    <w:rsid w:val="0701A122"/>
    <w:rsid w:val="09ABE07F"/>
    <w:rsid w:val="09BFF098"/>
    <w:rsid w:val="0BCD0CEC"/>
    <w:rsid w:val="0CBB1C59"/>
    <w:rsid w:val="0CDE3DD7"/>
    <w:rsid w:val="0CF9034D"/>
    <w:rsid w:val="0D65F0AE"/>
    <w:rsid w:val="0DB7374C"/>
    <w:rsid w:val="0FB34E23"/>
    <w:rsid w:val="1070D912"/>
    <w:rsid w:val="10AC1D5C"/>
    <w:rsid w:val="1161251C"/>
    <w:rsid w:val="11B93E6B"/>
    <w:rsid w:val="125A6ADF"/>
    <w:rsid w:val="127EB2C8"/>
    <w:rsid w:val="13E1FF4E"/>
    <w:rsid w:val="15F61D2E"/>
    <w:rsid w:val="162DB501"/>
    <w:rsid w:val="16AB2F68"/>
    <w:rsid w:val="16DB98EC"/>
    <w:rsid w:val="1716AD77"/>
    <w:rsid w:val="17AC5D5A"/>
    <w:rsid w:val="17E0F1D6"/>
    <w:rsid w:val="187C979A"/>
    <w:rsid w:val="18CB85A5"/>
    <w:rsid w:val="1A4ED0EC"/>
    <w:rsid w:val="1CA1E680"/>
    <w:rsid w:val="1CAB3B27"/>
    <w:rsid w:val="1F1AC994"/>
    <w:rsid w:val="1F790620"/>
    <w:rsid w:val="209806ED"/>
    <w:rsid w:val="20D00F3A"/>
    <w:rsid w:val="21136776"/>
    <w:rsid w:val="21697AAD"/>
    <w:rsid w:val="2197935C"/>
    <w:rsid w:val="220F675E"/>
    <w:rsid w:val="22AD88B4"/>
    <w:rsid w:val="22C3CE72"/>
    <w:rsid w:val="22EE7CEF"/>
    <w:rsid w:val="232DD863"/>
    <w:rsid w:val="24E3F7C4"/>
    <w:rsid w:val="27DE4574"/>
    <w:rsid w:val="2806B4AF"/>
    <w:rsid w:val="29CBA2B4"/>
    <w:rsid w:val="2A053B23"/>
    <w:rsid w:val="2B77DBFA"/>
    <w:rsid w:val="2C2BF8C6"/>
    <w:rsid w:val="2C7BBB55"/>
    <w:rsid w:val="2C86FEEE"/>
    <w:rsid w:val="2E8B6E0C"/>
    <w:rsid w:val="2E92A239"/>
    <w:rsid w:val="2EB60312"/>
    <w:rsid w:val="2ED90BCE"/>
    <w:rsid w:val="2F29D8BF"/>
    <w:rsid w:val="2F7538F0"/>
    <w:rsid w:val="3077FCD4"/>
    <w:rsid w:val="30DC7DE7"/>
    <w:rsid w:val="3191BAA9"/>
    <w:rsid w:val="32910FF3"/>
    <w:rsid w:val="32B00E29"/>
    <w:rsid w:val="352F0D51"/>
    <w:rsid w:val="35683D4E"/>
    <w:rsid w:val="35FF41C9"/>
    <w:rsid w:val="370D63F6"/>
    <w:rsid w:val="39024461"/>
    <w:rsid w:val="39CF7F6A"/>
    <w:rsid w:val="3B090821"/>
    <w:rsid w:val="3C4DD956"/>
    <w:rsid w:val="3D2505E8"/>
    <w:rsid w:val="3D80BB20"/>
    <w:rsid w:val="3DB7A721"/>
    <w:rsid w:val="3F2D33A4"/>
    <w:rsid w:val="3F7666B4"/>
    <w:rsid w:val="3FD16BF1"/>
    <w:rsid w:val="3FE2460B"/>
    <w:rsid w:val="3FF41307"/>
    <w:rsid w:val="404C564E"/>
    <w:rsid w:val="40F071D9"/>
    <w:rsid w:val="42244AC7"/>
    <w:rsid w:val="42E6FA80"/>
    <w:rsid w:val="4324E36A"/>
    <w:rsid w:val="447024F0"/>
    <w:rsid w:val="44D93767"/>
    <w:rsid w:val="46010E08"/>
    <w:rsid w:val="46632115"/>
    <w:rsid w:val="4975E9AA"/>
    <w:rsid w:val="4A771E7D"/>
    <w:rsid w:val="4A784D6D"/>
    <w:rsid w:val="4BBE8725"/>
    <w:rsid w:val="4C825CA3"/>
    <w:rsid w:val="4DF5FFA2"/>
    <w:rsid w:val="52CF12ED"/>
    <w:rsid w:val="53FF195C"/>
    <w:rsid w:val="5645CDDE"/>
    <w:rsid w:val="56ED016B"/>
    <w:rsid w:val="572F9253"/>
    <w:rsid w:val="57B902AA"/>
    <w:rsid w:val="592DE1A6"/>
    <w:rsid w:val="593C8884"/>
    <w:rsid w:val="5B4D52ED"/>
    <w:rsid w:val="5E4C01F5"/>
    <w:rsid w:val="60667D45"/>
    <w:rsid w:val="612757E2"/>
    <w:rsid w:val="615747D3"/>
    <w:rsid w:val="62504695"/>
    <w:rsid w:val="63ACBF33"/>
    <w:rsid w:val="64418207"/>
    <w:rsid w:val="64E7AF18"/>
    <w:rsid w:val="6B5B2DD7"/>
    <w:rsid w:val="6C51668F"/>
    <w:rsid w:val="6F806AEF"/>
    <w:rsid w:val="7010EA40"/>
    <w:rsid w:val="70DAEF1E"/>
    <w:rsid w:val="712EE05B"/>
    <w:rsid w:val="71816AE3"/>
    <w:rsid w:val="718D0D56"/>
    <w:rsid w:val="720D24CD"/>
    <w:rsid w:val="7212219B"/>
    <w:rsid w:val="722E72ED"/>
    <w:rsid w:val="72E35F71"/>
    <w:rsid w:val="7353FBB6"/>
    <w:rsid w:val="73BA116C"/>
    <w:rsid w:val="74687663"/>
    <w:rsid w:val="74758699"/>
    <w:rsid w:val="752CD073"/>
    <w:rsid w:val="76234AE0"/>
    <w:rsid w:val="76CB6B04"/>
    <w:rsid w:val="76DC0178"/>
    <w:rsid w:val="76FB4686"/>
    <w:rsid w:val="781CBD98"/>
    <w:rsid w:val="7865764B"/>
    <w:rsid w:val="797B917D"/>
    <w:rsid w:val="79F822A3"/>
    <w:rsid w:val="7A191A9C"/>
    <w:rsid w:val="7A4071AF"/>
    <w:rsid w:val="7CA92296"/>
    <w:rsid w:val="7CD26D39"/>
    <w:rsid w:val="7CE855AD"/>
    <w:rsid w:val="7D3D4748"/>
    <w:rsid w:val="7EDA6459"/>
    <w:rsid w:val="7F47B6F0"/>
    <w:rsid w:val="7F8EE8B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FE73A361-1921-4B59-B895-CB666F27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c.on.ca/en/about-us/privacy-and-transparency-in-a-modern-government" TargetMode="External"/><Relationship Id="rId18" Type="http://schemas.openxmlformats.org/officeDocument/2006/relationships/hyperlink" Target="https://iapp.org/conference/past-conferences/CPS2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q.law/post/navigating-privacy-and-access-in-public-sector-contracts" TargetMode="External"/><Relationship Id="rId7" Type="http://schemas.openxmlformats.org/officeDocument/2006/relationships/settings" Target="settings.xml"/><Relationship Id="rId12" Type="http://schemas.openxmlformats.org/officeDocument/2006/relationships/hyperlink" Target="mailto:commissioner.ipc@ipc.on.ca" TargetMode="External"/><Relationship Id="rId17" Type="http://schemas.openxmlformats.org/officeDocument/2006/relationships/hyperlink" Target="https://decisions.ipc.on.ca/ipc-cipvp/privacy/en/item/521985/index.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pc.on.ca/en/resources-and-decisions/privacy-and-access-public-sector-contracting-third-party-providers" TargetMode="External"/><Relationship Id="rId20" Type="http://schemas.openxmlformats.org/officeDocument/2006/relationships/hyperlink" Target="https://lerners.ca/lernx/privacy-access-considerations-when-contracting-with-third-parties-ipc-new-guidance-public-sec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blg.com/en/insights/2024/06/new-outsourcing-guidance-by-ontario-public-sector-privacy-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ityscorecard.com/resource/global-third-party-breach-report/" TargetMode="External"/><Relationship Id="rId22" Type="http://schemas.openxmlformats.org/officeDocument/2006/relationships/hyperlink" Target="https://www.mondaq.com/canada/privacy-protection/1481764/you-are-the-company-you-keep-managing-third-party-privacy-ris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88D9989-6B08-45D2-B151-8615D4BE6C39}">
    <t:Anchor>
      <t:Comment id="1495605705"/>
    </t:Anchor>
    <t:History>
      <t:Event id="{0C41782C-7069-4443-9C3F-A1F3F3E1475C}" time="2025-06-30T13:44:40.196Z">
        <t:Attribution userId="S::sandra.silva@ipc.on.ca::532527a0-9bb0-439e-9cdc-9c2051edefa3" userProvider="AD" userName="Sandra Silva"/>
        <t:Anchor>
          <t:Comment id="1624982367"/>
        </t:Anchor>
        <t:Create/>
      </t:Event>
      <t:Event id="{243CD376-DE65-4226-8CED-4881C8232F38}" time="2025-06-30T13:44:40.196Z">
        <t:Attribution userId="S::sandra.silva@ipc.on.ca::532527a0-9bb0-439e-9cdc-9c2051edefa3" userProvider="AD" userName="Sandra Silva"/>
        <t:Anchor>
          <t:Comment id="1624982367"/>
        </t:Anchor>
        <t:Assign userId="S::sandra.ferguson@ipc.on.ca::01f58a1e-f4b5-4717-b83d-89c7a322b8df" userProvider="AD" userName="Sandra Ferguson"/>
      </t:Event>
      <t:Event id="{0CBFFC09-1389-4A70-8DC9-9B678F02C4E8}" time="2025-06-30T13:44:40.196Z">
        <t:Attribution userId="S::sandra.silva@ipc.on.ca::532527a0-9bb0-439e-9cdc-9c2051edefa3" userProvider="AD" userName="Sandra Silva"/>
        <t:Anchor>
          <t:Comment id="1624982367"/>
        </t:Anchor>
        <t:SetTitle title="@Sandra Ferguson can you please see Commissioners question above and advise. Thank you."/>
      </t:Event>
      <t:Event id="{5F62BE55-15EA-4220-B029-1EB75BB12527}" time="2025-06-30T13:57:47.054Z">
        <t:Attribution userId="S::sandra.ferguson@ipc.on.ca::01f58a1e-f4b5-4717-b83d-89c7a322b8df" userProvider="AD" userName="Sandra Ferguson"/>
        <t:Progress percentComplete="100"/>
      </t:Event>
    </t:History>
  </t:Task>
  <t:Task id="{30AED717-F1BB-4880-9E94-C1108392ED82}">
    <t:Anchor>
      <t:Comment id="925777605"/>
    </t:Anchor>
    <t:History>
      <t:Event id="{3A28EC54-8577-40A6-90B4-3288529F4541}" time="2025-06-30T14:29:52.91Z">
        <t:Attribution userId="S::sandra.silva@ipc.on.ca::532527a0-9bb0-439e-9cdc-9c2051edefa3" userProvider="AD" userName="Sandra Silva"/>
        <t:Anchor>
          <t:Comment id="925777605"/>
        </t:Anchor>
        <t:Create/>
      </t:Event>
      <t:Event id="{A21D6515-0430-46CD-BA69-F682E6CB22F6}" time="2025-06-30T14:29:52.91Z">
        <t:Attribution userId="S::sandra.silva@ipc.on.ca::532527a0-9bb0-439e-9cdc-9c2051edefa3" userProvider="AD" userName="Sandra Silva"/>
        <t:Anchor>
          <t:Comment id="925777605"/>
        </t:Anchor>
        <t:Assign userId="S::sandra.ferguson@ipc.on.ca::01f58a1e-f4b5-4717-b83d-89c7a322b8df" userProvider="AD" userName="Sandra Ferguson"/>
      </t:Event>
      <t:Event id="{3FF9155C-830C-4E69-8B0B-769913688FC5}" time="2025-06-30T14:29:52.91Z">
        <t:Attribution userId="S::sandra.silva@ipc.on.ca::532527a0-9bb0-439e-9cdc-9c2051edefa3" userProvider="AD" userName="Sandra Silva"/>
        <t:Anchor>
          <t:Comment id="925777605"/>
        </t:Anchor>
        <t:SetTitle title="@Sandra Ferguson can you clarify if this is all one work or should there be a spa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4.xml><?xml version="1.0" encoding="utf-8"?>
<ds:datastoreItem xmlns:ds="http://schemas.openxmlformats.org/officeDocument/2006/customXml" ds:itemID="{A52E0751-3F89-407F-B557-A1264B137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7912</Characters>
  <Application>Microsoft Office Word</Application>
  <DocSecurity>0</DocSecurity>
  <Lines>232</Lines>
  <Paragraphs>100</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Stewart</dc:creator>
  <cp:keywords/>
  <cp:lastModifiedBy>Sandra Silva</cp:lastModifiedBy>
  <cp:revision>38</cp:revision>
  <dcterms:created xsi:type="dcterms:W3CDTF">2025-05-06T12:43:00Z</dcterms:created>
  <dcterms:modified xsi:type="dcterms:W3CDTF">2025-06-30T17:10:00Z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